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ind w:firstLine="720"/>
        <w:jc w:val="center"/>
        <w:rPr>
          <w:rFonts w:ascii="宋体" w:hAnsi="宋体" w:eastAsia="宋体"/>
        </w:rPr>
      </w:pPr>
      <w:bookmarkStart w:id="0" w:name="_GoBack"/>
      <w:bookmarkEnd w:id="0"/>
      <w:r>
        <w:rPr>
          <w:rFonts w:hint="eastAsia" w:ascii="宋体" w:hAnsi="宋体" w:eastAsia="宋体" w:cs="宋体"/>
          <w:b/>
          <w:bCs/>
          <w:sz w:val="32"/>
          <w:szCs w:val="32"/>
        </w:rPr>
        <w:t>评审方法及评审标准</w:t>
      </w:r>
    </w:p>
    <w:p>
      <w:pPr>
        <w:pStyle w:val="4"/>
        <w:ind w:right="22"/>
        <w:jc w:val="center"/>
        <w:rPr>
          <w:rFonts w:ascii="宋体" w:hAnsi="宋体" w:eastAsia="宋体"/>
        </w:rPr>
      </w:pPr>
      <w:r>
        <w:rPr>
          <w:rFonts w:hint="eastAsia" w:ascii="宋体" w:hAnsi="宋体" w:eastAsia="宋体"/>
          <w:sz w:val="28"/>
          <w:szCs w:val="28"/>
        </w:rPr>
        <w:t>第一节 评审方法</w:t>
      </w:r>
    </w:p>
    <w:p>
      <w:pPr>
        <w:pStyle w:val="4"/>
        <w:jc w:val="left"/>
        <w:rPr>
          <w:rFonts w:ascii="宋体" w:hAnsi="宋体" w:eastAsia="宋体"/>
        </w:rPr>
      </w:pPr>
      <w:r>
        <w:rPr>
          <w:rFonts w:ascii="宋体" w:hAnsi="宋体" w:eastAsia="宋体"/>
        </w:rPr>
        <w:t>一、评审方法</w:t>
      </w:r>
    </w:p>
    <w:p>
      <w:pPr>
        <w:pStyle w:val="4"/>
        <w:spacing w:before="158"/>
        <w:ind w:firstLine="513" w:firstLineChars="214"/>
        <w:jc w:val="left"/>
        <w:rPr>
          <w:rFonts w:ascii="宋体" w:hAnsi="宋体" w:eastAsia="宋体"/>
        </w:rPr>
      </w:pPr>
      <w:r>
        <w:rPr>
          <w:rFonts w:ascii="宋体" w:hAnsi="宋体" w:eastAsia="宋体"/>
        </w:rPr>
        <w:t>本项目采用</w:t>
      </w:r>
      <w:r>
        <w:rPr>
          <w:rFonts w:ascii="宋体" w:hAnsi="宋体" w:eastAsia="宋体"/>
          <w:u w:val="single"/>
        </w:rPr>
        <w:t xml:space="preserve"> 综合评分法 </w:t>
      </w:r>
      <w:r>
        <w:rPr>
          <w:rFonts w:ascii="宋体" w:hAnsi="宋体" w:eastAsia="宋体"/>
        </w:rPr>
        <w:t>进行评审。</w:t>
      </w:r>
    </w:p>
    <w:p>
      <w:pPr>
        <w:pStyle w:val="4"/>
        <w:spacing w:before="161" w:line="362" w:lineRule="auto"/>
        <w:ind w:firstLine="484" w:firstLineChars="209"/>
        <w:jc w:val="left"/>
        <w:rPr>
          <w:rFonts w:ascii="宋体" w:hAnsi="宋体" w:eastAsia="宋体"/>
        </w:rPr>
      </w:pPr>
      <w:r>
        <w:rPr>
          <w:rFonts w:ascii="宋体" w:hAnsi="宋体" w:eastAsia="宋体"/>
          <w:spacing w:val="-4"/>
        </w:rPr>
        <w:t>综合评分法，</w:t>
      </w:r>
      <w:r>
        <w:rPr>
          <w:rFonts w:ascii="宋体" w:hAnsi="宋体" w:eastAsia="宋体"/>
          <w:spacing w:val="-4"/>
        </w:rPr>
        <w:fldChar w:fldCharType="begin"/>
      </w:r>
      <w:r>
        <w:rPr>
          <w:rFonts w:ascii="宋体" w:hAnsi="宋体" w:eastAsia="宋体"/>
          <w:spacing w:val="-4"/>
        </w:rPr>
        <w:instrText xml:space="preserve"> HYPERLINK "http://www.baidu.com/s?wd=招标文件&amp;amp;hl_tag=textlink&amp;amp;tn=SE_hldp01350_v6v6zkg6" </w:instrText>
      </w:r>
      <w:r>
        <w:rPr>
          <w:rFonts w:ascii="宋体" w:hAnsi="宋体" w:eastAsia="宋体"/>
          <w:spacing w:val="-4"/>
        </w:rPr>
        <w:fldChar w:fldCharType="separate"/>
      </w:r>
      <w:r>
        <w:rPr>
          <w:rFonts w:ascii="宋体" w:hAnsi="宋体" w:eastAsia="宋体"/>
          <w:spacing w:val="-4"/>
        </w:rPr>
        <w:t>是指在满足比选文件</w:t>
      </w:r>
      <w:r>
        <w:rPr>
          <w:rFonts w:ascii="宋体" w:hAnsi="宋体" w:eastAsia="宋体"/>
          <w:spacing w:val="-4"/>
        </w:rPr>
        <w:fldChar w:fldCharType="end"/>
      </w:r>
      <w:r>
        <w:rPr>
          <w:rFonts w:ascii="宋体" w:hAnsi="宋体" w:eastAsia="宋体"/>
          <w:spacing w:val="-4"/>
        </w:rPr>
        <w:t>实质性要求的前提下，比选小组按照</w:t>
      </w:r>
      <w:r>
        <w:rPr>
          <w:rFonts w:ascii="宋体" w:hAnsi="宋体" w:eastAsia="宋体"/>
          <w:spacing w:val="-4"/>
        </w:rPr>
        <w:fldChar w:fldCharType="begin"/>
      </w:r>
      <w:r>
        <w:rPr>
          <w:rFonts w:ascii="宋体" w:hAnsi="宋体" w:eastAsia="宋体"/>
          <w:spacing w:val="-4"/>
        </w:rPr>
        <w:instrText xml:space="preserve"> HYPERLINK "http://www.baidu.com/s?wd=招标文件&amp;amp;hl_tag=textlink&amp;amp;tn=SE_hldp01350_v6v6zkg6" </w:instrText>
      </w:r>
      <w:r>
        <w:rPr>
          <w:rFonts w:ascii="宋体" w:hAnsi="宋体" w:eastAsia="宋体"/>
          <w:spacing w:val="-4"/>
        </w:rPr>
        <w:fldChar w:fldCharType="separate"/>
      </w:r>
      <w:r>
        <w:rPr>
          <w:rFonts w:ascii="宋体" w:hAnsi="宋体" w:eastAsia="宋体"/>
          <w:spacing w:val="-4"/>
        </w:rPr>
        <w:t>比选文件</w:t>
      </w:r>
      <w:r>
        <w:rPr>
          <w:rFonts w:ascii="宋体" w:hAnsi="宋体" w:eastAsia="宋体"/>
          <w:spacing w:val="-4"/>
        </w:rPr>
        <w:fldChar w:fldCharType="end"/>
      </w:r>
      <w:r>
        <w:rPr>
          <w:rFonts w:ascii="宋体" w:hAnsi="宋体" w:eastAsia="宋体"/>
          <w:spacing w:val="-4"/>
        </w:rPr>
        <w:t>中规定的各项评审因素及其分值进行综合评分后，按照评审得分由高到低顺序推荐</w:t>
      </w:r>
      <w:r>
        <w:rPr>
          <w:rFonts w:hint="eastAsia" w:ascii="宋体" w:hAnsi="宋体" w:eastAsia="宋体"/>
          <w:spacing w:val="-4"/>
          <w:lang w:eastAsia="zh-CN"/>
        </w:rPr>
        <w:t>成交</w:t>
      </w:r>
      <w:r>
        <w:rPr>
          <w:rFonts w:ascii="宋体" w:hAnsi="宋体" w:eastAsia="宋体"/>
          <w:spacing w:val="-4"/>
        </w:rPr>
        <w:t>候</w:t>
      </w:r>
      <w:r>
        <w:rPr>
          <w:rFonts w:ascii="宋体" w:hAnsi="宋体" w:eastAsia="宋体"/>
        </w:rPr>
        <w:t>选比选申请人。</w:t>
      </w:r>
    </w:p>
    <w:p>
      <w:pPr>
        <w:pStyle w:val="4"/>
        <w:spacing w:line="305" w:lineRule="exact"/>
        <w:jc w:val="left"/>
        <w:rPr>
          <w:rFonts w:ascii="宋体" w:hAnsi="宋体" w:eastAsia="宋体"/>
        </w:rPr>
      </w:pPr>
      <w:r>
        <w:rPr>
          <w:rFonts w:ascii="宋体" w:hAnsi="宋体" w:eastAsia="宋体"/>
        </w:rPr>
        <w:t>二、评分因素</w:t>
      </w:r>
    </w:p>
    <w:p>
      <w:pPr>
        <w:pStyle w:val="4"/>
        <w:spacing w:before="160" w:line="360" w:lineRule="auto"/>
        <w:ind w:right="895" w:firstLine="513" w:firstLineChars="214"/>
        <w:jc w:val="left"/>
        <w:rPr>
          <w:rFonts w:ascii="宋体" w:hAnsi="宋体" w:eastAsia="宋体"/>
        </w:rPr>
      </w:pPr>
      <w:r>
        <w:rPr>
          <w:rFonts w:ascii="宋体" w:hAnsi="宋体" w:eastAsia="宋体"/>
        </w:rPr>
        <w:t>评分因素详见评分表，分值保留至两位小数。比选时，比选小组依照评分表对每个有效比选申请人的响应文件进行独立评审、打分。</w:t>
      </w:r>
    </w:p>
    <w:p>
      <w:pPr>
        <w:pStyle w:val="4"/>
        <w:spacing w:before="5"/>
        <w:jc w:val="left"/>
        <w:rPr>
          <w:rFonts w:ascii="宋体" w:hAnsi="宋体" w:eastAsia="宋体"/>
        </w:rPr>
      </w:pPr>
      <w:r>
        <w:rPr>
          <w:rFonts w:ascii="宋体" w:hAnsi="宋体" w:eastAsia="宋体"/>
        </w:rPr>
        <w:t>三、评审标准</w:t>
      </w:r>
    </w:p>
    <w:p>
      <w:pPr>
        <w:pStyle w:val="3"/>
        <w:ind w:left="0"/>
        <w:jc w:val="left"/>
        <w:rPr>
          <w:rFonts w:ascii="宋体" w:hAnsi="宋体" w:eastAsia="宋体"/>
        </w:rPr>
      </w:pPr>
      <w:r>
        <w:rPr>
          <w:rFonts w:ascii="宋体" w:hAnsi="宋体" w:eastAsia="宋体"/>
        </w:rPr>
        <w:t>（一）资格审查和符合性审查</w:t>
      </w:r>
    </w:p>
    <w:tbl>
      <w:tblPr>
        <w:tblStyle w:val="5"/>
        <w:tblW w:w="9610" w:type="dxa"/>
        <w:tblInd w:w="-5" w:type="dxa"/>
        <w:tblLayout w:type="fixed"/>
        <w:tblCellMar>
          <w:top w:w="0" w:type="dxa"/>
          <w:left w:w="108" w:type="dxa"/>
          <w:bottom w:w="0" w:type="dxa"/>
          <w:right w:w="108" w:type="dxa"/>
        </w:tblCellMar>
      </w:tblPr>
      <w:tblGrid>
        <w:gridCol w:w="792"/>
        <w:gridCol w:w="1515"/>
        <w:gridCol w:w="7303"/>
      </w:tblGrid>
      <w:tr>
        <w:tblPrEx>
          <w:tblCellMar>
            <w:top w:w="0" w:type="dxa"/>
            <w:left w:w="108" w:type="dxa"/>
            <w:bottom w:w="0" w:type="dxa"/>
            <w:right w:w="108" w:type="dxa"/>
          </w:tblCellMar>
        </w:tblPrEx>
        <w:trPr>
          <w:trHeight w:val="377"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tabs>
                <w:tab w:val="left" w:pos="1583"/>
              </w:tabs>
              <w:spacing w:line="440" w:lineRule="exact"/>
              <w:ind w:left="0" w:firstLine="0"/>
              <w:jc w:val="center"/>
              <w:rPr>
                <w:rFonts w:ascii="宋体" w:hAnsi="宋体" w:eastAsia="宋体"/>
              </w:rPr>
            </w:pPr>
            <w:r>
              <w:rPr>
                <w:rFonts w:hint="eastAsia" w:ascii="宋体" w:hAnsi="宋体" w:eastAsia="宋体"/>
                <w:b/>
                <w:sz w:val="24"/>
                <w:lang w:val="en-US"/>
              </w:rPr>
              <w:t>序号</w:t>
            </w:r>
          </w:p>
        </w:tc>
        <w:tc>
          <w:tcPr>
            <w:tcW w:w="8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tabs>
                <w:tab w:val="left" w:pos="1583"/>
              </w:tabs>
              <w:spacing w:line="440" w:lineRule="exact"/>
              <w:ind w:left="0" w:firstLine="0"/>
              <w:jc w:val="center"/>
              <w:rPr>
                <w:rFonts w:ascii="宋体" w:hAnsi="宋体" w:eastAsia="宋体"/>
              </w:rPr>
            </w:pPr>
            <w:r>
              <w:rPr>
                <w:rFonts w:hint="eastAsia" w:ascii="宋体" w:hAnsi="宋体" w:eastAsia="宋体"/>
                <w:b/>
                <w:sz w:val="24"/>
                <w:lang w:val="en-US"/>
              </w:rPr>
              <w:t>资格要求</w:t>
            </w:r>
          </w:p>
        </w:tc>
      </w:tr>
      <w:tr>
        <w:tblPrEx>
          <w:tblCellMar>
            <w:top w:w="0" w:type="dxa"/>
            <w:left w:w="108" w:type="dxa"/>
            <w:bottom w:w="0" w:type="dxa"/>
            <w:right w:w="108" w:type="dxa"/>
          </w:tblCellMar>
        </w:tblPrEx>
        <w:trPr>
          <w:trHeight w:val="1087"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tabs>
                <w:tab w:val="left" w:pos="1583"/>
              </w:tabs>
              <w:spacing w:line="440" w:lineRule="exact"/>
              <w:ind w:left="0" w:firstLine="0"/>
              <w:jc w:val="center"/>
              <w:rPr>
                <w:rFonts w:ascii="宋体" w:hAnsi="宋体" w:eastAsia="宋体"/>
              </w:rPr>
            </w:pPr>
            <w:r>
              <w:rPr>
                <w:rFonts w:hint="eastAsia" w:ascii="宋体" w:hAnsi="宋体" w:eastAsia="宋体"/>
                <w:b/>
                <w:sz w:val="24"/>
                <w:lang w:val="en-US"/>
              </w:rPr>
              <w:t>1</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tabs>
                <w:tab w:val="left" w:pos="1583"/>
              </w:tabs>
              <w:spacing w:line="440" w:lineRule="exact"/>
              <w:ind w:left="0" w:firstLine="0"/>
              <w:jc w:val="center"/>
              <w:rPr>
                <w:rFonts w:ascii="宋体" w:hAnsi="宋体" w:eastAsia="宋体"/>
              </w:rPr>
            </w:pPr>
            <w:r>
              <w:rPr>
                <w:rFonts w:hint="eastAsia" w:ascii="宋体" w:hAnsi="宋体" w:eastAsia="宋体"/>
                <w:b/>
                <w:sz w:val="24"/>
                <w:lang w:val="en-US"/>
              </w:rPr>
              <w:t>资格审查</w:t>
            </w:r>
          </w:p>
        </w:tc>
        <w:tc>
          <w:tcPr>
            <w:tcW w:w="730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tabs>
                <w:tab w:val="left" w:pos="1583"/>
              </w:tabs>
              <w:spacing w:line="440" w:lineRule="exact"/>
              <w:ind w:left="0" w:firstLine="0"/>
              <w:rPr>
                <w:rFonts w:ascii="宋体" w:hAnsi="宋体" w:eastAsia="宋体"/>
              </w:rPr>
            </w:pPr>
            <w:r>
              <w:rPr>
                <w:rFonts w:hint="eastAsia" w:ascii="宋体" w:hAnsi="宋体" w:eastAsia="宋体"/>
                <w:bCs/>
                <w:sz w:val="24"/>
                <w:lang w:val="en-US"/>
              </w:rPr>
              <w:t>提供有效的统一社会信用代码的营业执照副本复印件，公司注册经营地址在</w:t>
            </w:r>
            <w:r>
              <w:rPr>
                <w:rFonts w:hint="eastAsia"/>
                <w:bCs/>
                <w:sz w:val="24"/>
                <w:lang w:val="en-US" w:eastAsia="zh-CN"/>
              </w:rPr>
              <w:t>贵州省或贵州省内有分支机构</w:t>
            </w:r>
            <w:r>
              <w:rPr>
                <w:rFonts w:hint="eastAsia" w:ascii="宋体" w:hAnsi="宋体" w:eastAsia="宋体"/>
                <w:bCs/>
                <w:sz w:val="24"/>
                <w:lang w:val="en-US"/>
              </w:rPr>
              <w:t>（提供营业执照或国家行政机关出具的分支机构证明文件）</w:t>
            </w:r>
          </w:p>
        </w:tc>
      </w:tr>
      <w:tr>
        <w:tblPrEx>
          <w:tblCellMar>
            <w:top w:w="0" w:type="dxa"/>
            <w:left w:w="108" w:type="dxa"/>
            <w:bottom w:w="0" w:type="dxa"/>
            <w:right w:w="108" w:type="dxa"/>
          </w:tblCellMar>
        </w:tblPrEx>
        <w:trPr>
          <w:trHeight w:val="377"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tabs>
                <w:tab w:val="left" w:pos="1583"/>
              </w:tabs>
              <w:spacing w:line="440" w:lineRule="exact"/>
              <w:ind w:left="0" w:firstLine="0"/>
              <w:jc w:val="center"/>
              <w:rPr>
                <w:rFonts w:ascii="宋体" w:hAnsi="宋体" w:eastAsia="宋体"/>
              </w:rPr>
            </w:pPr>
            <w:r>
              <w:rPr>
                <w:rFonts w:hint="eastAsia" w:ascii="宋体" w:hAnsi="宋体" w:eastAsia="宋体"/>
                <w:b/>
                <w:sz w:val="24"/>
                <w:lang w:val="en-US"/>
              </w:rPr>
              <w:t>2</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tabs>
                <w:tab w:val="left" w:pos="1583"/>
              </w:tabs>
              <w:snapToGrid w:val="0"/>
              <w:spacing w:line="440" w:lineRule="exact"/>
              <w:ind w:left="0" w:firstLine="0"/>
              <w:jc w:val="center"/>
              <w:rPr>
                <w:rFonts w:ascii="宋体" w:hAnsi="宋体" w:eastAsia="宋体"/>
                <w:b/>
                <w:sz w:val="24"/>
                <w:lang w:val="en-US"/>
              </w:rPr>
            </w:pPr>
          </w:p>
        </w:tc>
        <w:tc>
          <w:tcPr>
            <w:tcW w:w="730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tabs>
                <w:tab w:val="left" w:pos="1583"/>
              </w:tabs>
              <w:spacing w:line="440" w:lineRule="exact"/>
              <w:ind w:left="0" w:firstLine="0"/>
              <w:rPr>
                <w:rFonts w:ascii="宋体" w:hAnsi="宋体" w:eastAsia="宋体"/>
              </w:rPr>
            </w:pPr>
            <w:r>
              <w:rPr>
                <w:rFonts w:hint="eastAsia" w:ascii="宋体" w:hAnsi="宋体" w:eastAsia="宋体"/>
                <w:bCs/>
                <w:sz w:val="24"/>
                <w:lang w:val="en-US"/>
              </w:rPr>
              <w:t>提供2021年度或2022年度由会计师事务所审定的财务审计报告</w:t>
            </w:r>
            <w:r>
              <w:rPr>
                <w:rFonts w:hint="eastAsia" w:ascii="宋体" w:hAnsi="宋体" w:eastAsia="宋体"/>
                <w:sz w:val="24"/>
                <w:lang w:val="en-US"/>
              </w:rPr>
              <w:t>或2022年1月至今银行出具的资信证明</w:t>
            </w:r>
            <w:r>
              <w:rPr>
                <w:rFonts w:hint="eastAsia" w:ascii="宋体" w:hAnsi="宋体" w:eastAsia="宋体"/>
                <w:bCs/>
                <w:sz w:val="24"/>
                <w:lang w:val="en-US"/>
              </w:rPr>
              <w:t>。</w:t>
            </w:r>
          </w:p>
        </w:tc>
      </w:tr>
      <w:tr>
        <w:tblPrEx>
          <w:tblCellMar>
            <w:top w:w="0" w:type="dxa"/>
            <w:left w:w="108" w:type="dxa"/>
            <w:bottom w:w="0" w:type="dxa"/>
            <w:right w:w="108" w:type="dxa"/>
          </w:tblCellMar>
        </w:tblPrEx>
        <w:trPr>
          <w:trHeight w:val="732"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tabs>
                <w:tab w:val="left" w:pos="1583"/>
              </w:tabs>
              <w:spacing w:line="440" w:lineRule="exact"/>
              <w:ind w:left="0" w:firstLine="0"/>
              <w:jc w:val="center"/>
              <w:rPr>
                <w:rFonts w:ascii="宋体" w:hAnsi="宋体" w:eastAsia="宋体"/>
              </w:rPr>
            </w:pPr>
            <w:r>
              <w:rPr>
                <w:rFonts w:hint="eastAsia" w:ascii="宋体" w:hAnsi="宋体" w:eastAsia="宋体"/>
                <w:b/>
                <w:sz w:val="24"/>
                <w:lang w:val="en-US"/>
              </w:rPr>
              <w:t>3</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tabs>
                <w:tab w:val="left" w:pos="1583"/>
              </w:tabs>
              <w:snapToGrid w:val="0"/>
              <w:spacing w:line="440" w:lineRule="exact"/>
              <w:ind w:left="0" w:firstLine="0"/>
              <w:jc w:val="center"/>
              <w:rPr>
                <w:rFonts w:ascii="宋体" w:hAnsi="宋体" w:eastAsia="宋体"/>
                <w:b/>
                <w:sz w:val="24"/>
                <w:lang w:val="en-US"/>
              </w:rPr>
            </w:pPr>
          </w:p>
        </w:tc>
        <w:tc>
          <w:tcPr>
            <w:tcW w:w="730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tabs>
                <w:tab w:val="left" w:pos="1583"/>
              </w:tabs>
              <w:spacing w:line="440" w:lineRule="exact"/>
              <w:ind w:left="0" w:firstLine="0"/>
              <w:rPr>
                <w:rFonts w:ascii="宋体" w:hAnsi="宋体" w:eastAsia="宋体"/>
              </w:rPr>
            </w:pPr>
            <w:r>
              <w:rPr>
                <w:rFonts w:hint="eastAsia" w:ascii="宋体" w:hAnsi="宋体" w:eastAsia="宋体"/>
                <w:bCs/>
                <w:sz w:val="24"/>
                <w:lang w:val="en-US"/>
              </w:rPr>
              <w:t>提供履行合同所必需的设备（办公场所及办公设备的证明材料）和专业技术能力（专业技术人员从业资格证明材料）。</w:t>
            </w:r>
          </w:p>
        </w:tc>
      </w:tr>
      <w:tr>
        <w:tblPrEx>
          <w:tblCellMar>
            <w:top w:w="0" w:type="dxa"/>
            <w:left w:w="108" w:type="dxa"/>
            <w:bottom w:w="0" w:type="dxa"/>
            <w:right w:w="108" w:type="dxa"/>
          </w:tblCellMar>
        </w:tblPrEx>
        <w:trPr>
          <w:trHeight w:val="377"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tabs>
                <w:tab w:val="left" w:pos="1583"/>
              </w:tabs>
              <w:spacing w:line="440" w:lineRule="exact"/>
              <w:ind w:left="0" w:firstLine="0"/>
              <w:jc w:val="center"/>
              <w:rPr>
                <w:rFonts w:ascii="宋体" w:hAnsi="宋体" w:eastAsia="宋体"/>
              </w:rPr>
            </w:pPr>
            <w:r>
              <w:rPr>
                <w:rFonts w:hint="eastAsia" w:ascii="宋体" w:hAnsi="宋体" w:eastAsia="宋体"/>
                <w:b/>
                <w:sz w:val="24"/>
                <w:lang w:val="en-US"/>
              </w:rPr>
              <w:t>4</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tabs>
                <w:tab w:val="left" w:pos="1583"/>
              </w:tabs>
              <w:snapToGrid w:val="0"/>
              <w:spacing w:line="440" w:lineRule="exact"/>
              <w:ind w:left="0" w:firstLine="0"/>
              <w:jc w:val="left"/>
              <w:rPr>
                <w:rFonts w:ascii="宋体" w:hAnsi="宋体" w:eastAsia="宋体"/>
                <w:b/>
                <w:sz w:val="24"/>
                <w:lang w:val="en-US"/>
              </w:rPr>
            </w:pPr>
          </w:p>
        </w:tc>
        <w:tc>
          <w:tcPr>
            <w:tcW w:w="730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tabs>
                <w:tab w:val="left" w:pos="1583"/>
              </w:tabs>
              <w:spacing w:line="440" w:lineRule="exact"/>
              <w:ind w:left="0" w:firstLine="0"/>
              <w:rPr>
                <w:rFonts w:ascii="宋体" w:hAnsi="宋体" w:eastAsia="宋体"/>
              </w:rPr>
            </w:pPr>
            <w:r>
              <w:rPr>
                <w:rFonts w:hint="eastAsia"/>
                <w:bCs/>
                <w:sz w:val="24"/>
                <w:lang w:val="en-US" w:eastAsia="zh-CN"/>
              </w:rPr>
              <w:t>2023年1月至今任意一个月</w:t>
            </w:r>
            <w:r>
              <w:rPr>
                <w:rFonts w:hint="eastAsia" w:ascii="宋体" w:hAnsi="宋体" w:eastAsia="宋体"/>
                <w:bCs/>
                <w:sz w:val="24"/>
                <w:lang w:val="en-US"/>
              </w:rPr>
              <w:t>依法缴纳税收和缴纳社会保险费的相关证明材料。</w:t>
            </w:r>
          </w:p>
        </w:tc>
      </w:tr>
      <w:tr>
        <w:tblPrEx>
          <w:tblCellMar>
            <w:top w:w="0" w:type="dxa"/>
            <w:left w:w="108" w:type="dxa"/>
            <w:bottom w:w="0" w:type="dxa"/>
            <w:right w:w="108" w:type="dxa"/>
          </w:tblCellMar>
        </w:tblPrEx>
        <w:trPr>
          <w:trHeight w:val="1442"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tabs>
                <w:tab w:val="left" w:pos="1583"/>
              </w:tabs>
              <w:spacing w:line="440" w:lineRule="exact"/>
              <w:ind w:left="0" w:firstLine="0"/>
              <w:jc w:val="center"/>
              <w:rPr>
                <w:rFonts w:ascii="宋体" w:hAnsi="宋体" w:eastAsia="宋体"/>
              </w:rPr>
            </w:pPr>
            <w:r>
              <w:rPr>
                <w:rFonts w:hint="eastAsia" w:ascii="宋体" w:hAnsi="宋体" w:eastAsia="宋体"/>
                <w:b/>
                <w:sz w:val="24"/>
                <w:lang w:val="en-US"/>
              </w:rPr>
              <w:t>5</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tabs>
                <w:tab w:val="left" w:pos="1583"/>
              </w:tabs>
              <w:snapToGrid w:val="0"/>
              <w:spacing w:line="440" w:lineRule="exact"/>
              <w:ind w:left="0" w:firstLine="0"/>
              <w:jc w:val="left"/>
              <w:rPr>
                <w:rFonts w:ascii="宋体" w:hAnsi="宋体" w:eastAsia="宋体"/>
                <w:b/>
                <w:sz w:val="24"/>
                <w:lang w:val="en-US"/>
              </w:rPr>
            </w:pPr>
          </w:p>
        </w:tc>
        <w:tc>
          <w:tcPr>
            <w:tcW w:w="730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tabs>
                <w:tab w:val="left" w:pos="1583"/>
              </w:tabs>
              <w:spacing w:line="440" w:lineRule="exact"/>
              <w:ind w:left="0" w:firstLine="0"/>
              <w:rPr>
                <w:rFonts w:ascii="宋体" w:hAnsi="宋体" w:eastAsia="宋体"/>
                <w:lang w:val="en-US"/>
              </w:rPr>
            </w:pPr>
            <w:r>
              <w:rPr>
                <w:rFonts w:hint="eastAsia" w:ascii="宋体" w:hAnsi="宋体" w:eastAsia="宋体"/>
                <w:bCs/>
                <w:sz w:val="24"/>
                <w:lang w:val="en-US"/>
              </w:rPr>
              <w:t>提供参加比选活动前3年内在经营活动中没有重大违法记录的承诺书；提供“信用中国”(www.creditchina.gov.cn)“记录失信被执行人或重大税收违法案件当事人名单；提供《信用记录承诺函》附“信用中国”网站（www.creditchina.gov.cn）的信用记录查询结果截图。</w:t>
            </w:r>
          </w:p>
        </w:tc>
      </w:tr>
      <w:tr>
        <w:tblPrEx>
          <w:tblCellMar>
            <w:top w:w="0" w:type="dxa"/>
            <w:left w:w="108" w:type="dxa"/>
            <w:bottom w:w="0" w:type="dxa"/>
            <w:right w:w="108" w:type="dxa"/>
          </w:tblCellMar>
        </w:tblPrEx>
        <w:trPr>
          <w:trHeight w:val="1442"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tabs>
                <w:tab w:val="left" w:pos="1583"/>
              </w:tabs>
              <w:spacing w:line="440" w:lineRule="exact"/>
              <w:ind w:left="0" w:firstLine="0"/>
              <w:jc w:val="center"/>
              <w:rPr>
                <w:rFonts w:ascii="宋体" w:hAnsi="宋体" w:eastAsia="宋体"/>
              </w:rPr>
            </w:pPr>
            <w:r>
              <w:rPr>
                <w:rFonts w:hint="eastAsia" w:ascii="宋体" w:hAnsi="宋体" w:eastAsia="宋体"/>
                <w:b/>
                <w:sz w:val="24"/>
                <w:lang w:val="en-US"/>
              </w:rPr>
              <w:t>6</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tabs>
                <w:tab w:val="left" w:pos="1583"/>
              </w:tabs>
              <w:snapToGrid w:val="0"/>
              <w:spacing w:line="440" w:lineRule="exact"/>
              <w:ind w:left="0" w:firstLine="0"/>
              <w:jc w:val="left"/>
              <w:rPr>
                <w:rFonts w:ascii="宋体" w:hAnsi="宋体" w:eastAsia="宋体"/>
                <w:b/>
                <w:sz w:val="24"/>
                <w:lang w:val="en-US"/>
              </w:rPr>
            </w:pPr>
          </w:p>
        </w:tc>
        <w:tc>
          <w:tcPr>
            <w:tcW w:w="730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tabs>
                <w:tab w:val="left" w:pos="1583"/>
              </w:tabs>
              <w:spacing w:line="440" w:lineRule="exact"/>
              <w:ind w:left="0" w:firstLine="0"/>
              <w:rPr>
                <w:rFonts w:ascii="宋体" w:hAnsi="宋体" w:eastAsia="宋体"/>
              </w:rPr>
            </w:pPr>
            <w:r>
              <w:rPr>
                <w:rFonts w:hint="eastAsia" w:ascii="宋体" w:hAnsi="宋体" w:eastAsia="宋体"/>
                <w:bCs/>
                <w:sz w:val="24"/>
                <w:lang w:val="en-US"/>
              </w:rPr>
              <w:t>提供在“中国政府采购网”或“贵州省政府采购网”上登记注册成功的政府采购招标代理机构，提供网络截图并加盖公章；提供在“全国建筑市场监管公共服务平台”或“贵州省建筑业监管和公共服务平台”上登记注册成功的工程招标代理机构，提供网络截图并加盖公章。</w:t>
            </w:r>
          </w:p>
        </w:tc>
      </w:tr>
      <w:tr>
        <w:tblPrEx>
          <w:tblCellMar>
            <w:top w:w="0" w:type="dxa"/>
            <w:left w:w="108" w:type="dxa"/>
            <w:bottom w:w="0" w:type="dxa"/>
            <w:right w:w="108" w:type="dxa"/>
          </w:tblCellMar>
        </w:tblPrEx>
        <w:trPr>
          <w:trHeight w:val="377"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tabs>
                <w:tab w:val="left" w:pos="1583"/>
              </w:tabs>
              <w:spacing w:line="440" w:lineRule="exact"/>
              <w:ind w:left="0" w:firstLine="0"/>
              <w:jc w:val="center"/>
              <w:rPr>
                <w:rFonts w:ascii="宋体" w:hAnsi="宋体" w:eastAsia="宋体"/>
              </w:rPr>
            </w:pPr>
            <w:r>
              <w:rPr>
                <w:rFonts w:hint="eastAsia" w:ascii="宋体" w:hAnsi="宋体" w:eastAsia="宋体"/>
                <w:b/>
                <w:sz w:val="24"/>
                <w:lang w:val="en-US"/>
              </w:rPr>
              <w:t>7</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tabs>
                <w:tab w:val="left" w:pos="1583"/>
              </w:tabs>
              <w:snapToGrid w:val="0"/>
              <w:spacing w:line="440" w:lineRule="exact"/>
              <w:ind w:left="0" w:firstLine="0"/>
              <w:jc w:val="left"/>
              <w:rPr>
                <w:rFonts w:ascii="宋体" w:hAnsi="宋体" w:eastAsia="宋体"/>
                <w:b/>
                <w:sz w:val="24"/>
                <w:lang w:val="en-US"/>
              </w:rPr>
            </w:pPr>
          </w:p>
        </w:tc>
        <w:tc>
          <w:tcPr>
            <w:tcW w:w="730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tabs>
                <w:tab w:val="left" w:pos="1583"/>
              </w:tabs>
              <w:spacing w:line="440" w:lineRule="exact"/>
              <w:ind w:left="0" w:firstLine="0"/>
              <w:rPr>
                <w:rFonts w:ascii="宋体" w:hAnsi="宋体" w:eastAsia="宋体"/>
              </w:rPr>
            </w:pPr>
            <w:r>
              <w:rPr>
                <w:rFonts w:hint="eastAsia" w:ascii="宋体" w:hAnsi="宋体" w:eastAsia="宋体"/>
                <w:bCs/>
                <w:sz w:val="24"/>
              </w:rPr>
              <w:t>有效的法定代表人授权书</w:t>
            </w:r>
          </w:p>
        </w:tc>
      </w:tr>
      <w:tr>
        <w:tblPrEx>
          <w:tblCellMar>
            <w:top w:w="0" w:type="dxa"/>
            <w:left w:w="108" w:type="dxa"/>
            <w:bottom w:w="0" w:type="dxa"/>
            <w:right w:w="108" w:type="dxa"/>
          </w:tblCellMar>
        </w:tblPrEx>
        <w:trPr>
          <w:trHeight w:val="377"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tabs>
                <w:tab w:val="left" w:pos="1583"/>
              </w:tabs>
              <w:spacing w:line="440" w:lineRule="exact"/>
              <w:ind w:left="0" w:firstLine="0"/>
              <w:jc w:val="center"/>
              <w:rPr>
                <w:rFonts w:ascii="宋体" w:hAnsi="宋体" w:eastAsia="宋体"/>
              </w:rPr>
            </w:pPr>
            <w:r>
              <w:rPr>
                <w:rFonts w:hint="eastAsia" w:ascii="宋体" w:hAnsi="宋体" w:eastAsia="宋体"/>
                <w:b/>
                <w:sz w:val="24"/>
                <w:lang w:val="en-US"/>
              </w:rPr>
              <w:t>8</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tabs>
                <w:tab w:val="left" w:pos="1583"/>
              </w:tabs>
              <w:snapToGrid w:val="0"/>
              <w:spacing w:line="440" w:lineRule="exact"/>
              <w:ind w:left="0" w:firstLine="0"/>
              <w:jc w:val="left"/>
              <w:rPr>
                <w:rFonts w:ascii="宋体" w:hAnsi="宋体" w:eastAsia="宋体"/>
                <w:b/>
                <w:sz w:val="24"/>
                <w:lang w:val="en-US"/>
              </w:rPr>
            </w:pPr>
          </w:p>
        </w:tc>
        <w:tc>
          <w:tcPr>
            <w:tcW w:w="730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tabs>
                <w:tab w:val="left" w:pos="1583"/>
              </w:tabs>
              <w:spacing w:line="440" w:lineRule="exact"/>
              <w:ind w:left="0" w:firstLine="0"/>
              <w:rPr>
                <w:rFonts w:ascii="宋体" w:hAnsi="宋体" w:eastAsia="宋体"/>
              </w:rPr>
            </w:pPr>
            <w:r>
              <w:rPr>
                <w:rFonts w:hint="eastAsia" w:ascii="宋体" w:hAnsi="宋体" w:eastAsia="宋体"/>
                <w:bCs/>
                <w:sz w:val="24"/>
                <w:lang w:val="en-US"/>
              </w:rPr>
              <w:t>近三年从事经营活动无违法违规记录声明函原件。</w:t>
            </w:r>
          </w:p>
        </w:tc>
      </w:tr>
      <w:tr>
        <w:tblPrEx>
          <w:tblCellMar>
            <w:top w:w="0" w:type="dxa"/>
            <w:left w:w="108" w:type="dxa"/>
            <w:bottom w:w="0" w:type="dxa"/>
            <w:right w:w="108" w:type="dxa"/>
          </w:tblCellMar>
        </w:tblPrEx>
        <w:trPr>
          <w:trHeight w:val="398" w:hRule="atLeast"/>
        </w:trPr>
        <w:tc>
          <w:tcPr>
            <w:tcW w:w="2307" w:type="dxa"/>
            <w:gridSpan w:val="2"/>
            <w:tcBorders>
              <w:top w:val="single" w:color="000000" w:sz="4" w:space="0"/>
              <w:left w:val="single" w:color="000000" w:sz="4" w:space="0"/>
              <w:bottom w:val="single" w:color="000000" w:sz="4" w:space="0"/>
              <w:right w:val="single" w:color="000000" w:sz="4" w:space="0"/>
            </w:tcBorders>
            <w:shd w:val="clear" w:color="auto" w:fill="auto"/>
          </w:tcPr>
          <w:p>
            <w:pPr>
              <w:pStyle w:val="7"/>
              <w:tabs>
                <w:tab w:val="left" w:pos="1583"/>
              </w:tabs>
              <w:spacing w:line="440" w:lineRule="exact"/>
              <w:ind w:left="0" w:firstLine="0"/>
              <w:jc w:val="left"/>
              <w:rPr>
                <w:rFonts w:ascii="宋体" w:hAnsi="宋体" w:eastAsia="宋体"/>
              </w:rPr>
            </w:pPr>
            <w:r>
              <w:rPr>
                <w:rFonts w:hint="eastAsia" w:ascii="宋体" w:hAnsi="宋体" w:eastAsia="宋体"/>
                <w:b/>
                <w:sz w:val="24"/>
                <w:lang w:val="en-US"/>
              </w:rPr>
              <w:t>审查结论</w:t>
            </w:r>
          </w:p>
        </w:tc>
        <w:tc>
          <w:tcPr>
            <w:tcW w:w="7303" w:type="dxa"/>
            <w:tcBorders>
              <w:top w:val="single" w:color="000000" w:sz="4" w:space="0"/>
              <w:left w:val="single" w:color="000000" w:sz="4" w:space="0"/>
              <w:bottom w:val="single" w:color="000000" w:sz="4" w:space="0"/>
              <w:right w:val="single" w:color="000000" w:sz="4" w:space="0"/>
            </w:tcBorders>
            <w:shd w:val="clear" w:color="auto" w:fill="auto"/>
          </w:tcPr>
          <w:p>
            <w:pPr>
              <w:pStyle w:val="7"/>
              <w:tabs>
                <w:tab w:val="left" w:pos="1583"/>
              </w:tabs>
              <w:snapToGrid w:val="0"/>
              <w:spacing w:line="440" w:lineRule="exact"/>
              <w:ind w:left="0" w:firstLine="0"/>
              <w:jc w:val="left"/>
              <w:rPr>
                <w:rFonts w:ascii="宋体" w:hAnsi="宋体" w:eastAsia="宋体"/>
                <w:b/>
                <w:sz w:val="24"/>
                <w:lang w:val="en-US"/>
              </w:rPr>
            </w:pPr>
          </w:p>
        </w:tc>
      </w:tr>
    </w:tbl>
    <w:p>
      <w:pPr>
        <w:spacing w:after="31"/>
        <w:jc w:val="left"/>
        <w:rPr>
          <w:rFonts w:ascii="宋体" w:hAnsi="宋体" w:eastAsia="宋体"/>
          <w:b/>
          <w:sz w:val="24"/>
        </w:rPr>
      </w:pPr>
    </w:p>
    <w:p>
      <w:pPr>
        <w:spacing w:after="31"/>
        <w:jc w:val="left"/>
        <w:rPr>
          <w:rFonts w:ascii="宋体" w:hAnsi="宋体" w:eastAsia="宋体" w:cs="宋体"/>
          <w:b/>
          <w:bCs/>
          <w:sz w:val="24"/>
          <w:lang w:val="zh-CN" w:bidi="zh-CN"/>
        </w:rPr>
      </w:pPr>
      <w:r>
        <w:rPr>
          <w:rFonts w:hint="eastAsia" w:ascii="宋体" w:hAnsi="宋体" w:eastAsia="宋体"/>
          <w:b/>
          <w:sz w:val="24"/>
        </w:rPr>
        <w:t>（二）</w:t>
      </w:r>
      <w:r>
        <w:rPr>
          <w:rFonts w:ascii="宋体" w:hAnsi="宋体" w:eastAsia="宋体" w:cs="宋体"/>
          <w:b/>
          <w:bCs/>
          <w:sz w:val="24"/>
          <w:lang w:val="zh-CN" w:bidi="zh-CN"/>
        </w:rPr>
        <w:t>评分细则及各项评审因素分值如下：</w:t>
      </w:r>
    </w:p>
    <w:tbl>
      <w:tblPr>
        <w:tblStyle w:val="5"/>
        <w:tblW w:w="5140" w:type="pct"/>
        <w:jc w:val="center"/>
        <w:tblLayout w:type="autofit"/>
        <w:tblCellMar>
          <w:top w:w="0" w:type="dxa"/>
          <w:left w:w="108" w:type="dxa"/>
          <w:bottom w:w="0" w:type="dxa"/>
          <w:right w:w="108" w:type="dxa"/>
        </w:tblCellMar>
      </w:tblPr>
      <w:tblGrid>
        <w:gridCol w:w="676"/>
        <w:gridCol w:w="1101"/>
        <w:gridCol w:w="6984"/>
      </w:tblGrid>
      <w:tr>
        <w:tblPrEx>
          <w:tblCellMar>
            <w:top w:w="0" w:type="dxa"/>
            <w:left w:w="108" w:type="dxa"/>
            <w:bottom w:w="0" w:type="dxa"/>
            <w:right w:w="108" w:type="dxa"/>
          </w:tblCellMar>
        </w:tblPrEx>
        <w:trPr>
          <w:trHeight w:val="702" w:hRule="atLeast"/>
          <w:jc w:val="center"/>
        </w:trPr>
        <w:tc>
          <w:tcPr>
            <w:tcW w:w="386" w:type="pct"/>
            <w:tcBorders>
              <w:top w:val="double" w:color="000000" w:sz="6" w:space="0"/>
              <w:left w:val="double" w:color="000000" w:sz="6" w:space="0"/>
              <w:bottom w:val="double" w:color="000000" w:sz="6" w:space="0"/>
              <w:right w:val="double" w:color="000000" w:sz="6" w:space="0"/>
            </w:tcBorders>
            <w:shd w:val="clear" w:color="auto" w:fill="auto"/>
            <w:vAlign w:val="center"/>
          </w:tcPr>
          <w:p>
            <w:pPr>
              <w:autoSpaceDE w:val="0"/>
              <w:spacing w:line="440" w:lineRule="exact"/>
              <w:jc w:val="center"/>
              <w:rPr>
                <w:rFonts w:ascii="宋体" w:hAnsi="宋体" w:eastAsia="宋体"/>
              </w:rPr>
            </w:pPr>
            <w:r>
              <w:rPr>
                <w:rFonts w:hint="eastAsia" w:ascii="宋体" w:hAnsi="宋体" w:eastAsia="宋体" w:cs="宋体"/>
                <w:b/>
                <w:color w:val="000000"/>
                <w:sz w:val="24"/>
              </w:rPr>
              <w:t>序号</w:t>
            </w:r>
          </w:p>
        </w:tc>
        <w:tc>
          <w:tcPr>
            <w:tcW w:w="628" w:type="pct"/>
            <w:tcBorders>
              <w:top w:val="double" w:color="000000" w:sz="6" w:space="0"/>
              <w:left w:val="double" w:color="000000" w:sz="6" w:space="0"/>
              <w:bottom w:val="double" w:color="000000" w:sz="6" w:space="0"/>
              <w:right w:val="double" w:color="000000" w:sz="6" w:space="0"/>
            </w:tcBorders>
            <w:shd w:val="clear" w:color="auto" w:fill="auto"/>
            <w:vAlign w:val="center"/>
          </w:tcPr>
          <w:p>
            <w:pPr>
              <w:autoSpaceDE w:val="0"/>
              <w:spacing w:line="440" w:lineRule="exact"/>
              <w:rPr>
                <w:rFonts w:ascii="宋体" w:hAnsi="宋体" w:eastAsia="宋体"/>
              </w:rPr>
            </w:pPr>
            <w:r>
              <w:rPr>
                <w:rFonts w:hint="eastAsia" w:ascii="宋体" w:hAnsi="宋体" w:eastAsia="宋体" w:cs="宋体"/>
                <w:b/>
                <w:bCs/>
                <w:color w:val="000000"/>
                <w:sz w:val="24"/>
              </w:rPr>
              <w:t>评审内容</w:t>
            </w:r>
          </w:p>
        </w:tc>
        <w:tc>
          <w:tcPr>
            <w:tcW w:w="3984" w:type="pct"/>
            <w:tcBorders>
              <w:top w:val="double" w:color="000000" w:sz="6" w:space="0"/>
              <w:left w:val="double" w:color="000000" w:sz="6" w:space="0"/>
              <w:bottom w:val="double" w:color="000000" w:sz="6" w:space="0"/>
              <w:right w:val="double" w:color="000000" w:sz="6" w:space="0"/>
            </w:tcBorders>
            <w:shd w:val="clear" w:color="auto" w:fill="auto"/>
            <w:vAlign w:val="center"/>
          </w:tcPr>
          <w:p>
            <w:pPr>
              <w:autoSpaceDE w:val="0"/>
              <w:spacing w:line="440" w:lineRule="exact"/>
              <w:jc w:val="center"/>
              <w:rPr>
                <w:rFonts w:ascii="宋体" w:hAnsi="宋体" w:eastAsia="宋体"/>
              </w:rPr>
            </w:pPr>
            <w:r>
              <w:rPr>
                <w:rFonts w:hint="eastAsia" w:ascii="宋体" w:hAnsi="宋体" w:eastAsia="宋体" w:cs="宋体"/>
                <w:b/>
                <w:bCs/>
                <w:color w:val="000000"/>
                <w:sz w:val="24"/>
              </w:rPr>
              <w:t>评分标准</w:t>
            </w:r>
          </w:p>
        </w:tc>
      </w:tr>
      <w:tr>
        <w:tblPrEx>
          <w:tblCellMar>
            <w:top w:w="0" w:type="dxa"/>
            <w:left w:w="108" w:type="dxa"/>
            <w:bottom w:w="0" w:type="dxa"/>
            <w:right w:w="108" w:type="dxa"/>
          </w:tblCellMar>
        </w:tblPrEx>
        <w:trPr>
          <w:trHeight w:val="702" w:hRule="atLeast"/>
          <w:jc w:val="center"/>
        </w:trPr>
        <w:tc>
          <w:tcPr>
            <w:tcW w:w="386" w:type="pct"/>
            <w:tcBorders>
              <w:top w:val="double" w:color="000000" w:sz="6" w:space="0"/>
              <w:left w:val="double" w:color="000000" w:sz="6" w:space="0"/>
              <w:bottom w:val="double" w:color="000000" w:sz="6" w:space="0"/>
              <w:right w:val="double" w:color="000000" w:sz="6" w:space="0"/>
            </w:tcBorders>
            <w:shd w:val="clear" w:color="auto" w:fill="auto"/>
            <w:vAlign w:val="center"/>
          </w:tcPr>
          <w:p>
            <w:pPr>
              <w:autoSpaceDE w:val="0"/>
              <w:spacing w:line="440" w:lineRule="exact"/>
              <w:jc w:val="center"/>
              <w:rPr>
                <w:rFonts w:hint="eastAsia" w:ascii="宋体" w:hAnsi="宋体" w:eastAsia="宋体" w:cs="宋体"/>
                <w:b/>
                <w:color w:val="000000"/>
                <w:sz w:val="24"/>
                <w:lang w:val="en-US" w:eastAsia="zh-CN"/>
              </w:rPr>
            </w:pPr>
            <w:r>
              <w:rPr>
                <w:rFonts w:hint="eastAsia" w:ascii="宋体" w:hAnsi="宋体" w:eastAsia="宋体" w:cs="宋体"/>
                <w:b/>
                <w:color w:val="000000"/>
                <w:sz w:val="24"/>
                <w:lang w:val="en-US" w:eastAsia="zh-CN"/>
              </w:rPr>
              <w:t>1</w:t>
            </w:r>
          </w:p>
        </w:tc>
        <w:tc>
          <w:tcPr>
            <w:tcW w:w="628" w:type="pct"/>
            <w:tcBorders>
              <w:top w:val="double" w:color="000000" w:sz="6" w:space="0"/>
              <w:left w:val="double" w:color="000000" w:sz="6" w:space="0"/>
              <w:bottom w:val="double" w:color="000000" w:sz="6" w:space="0"/>
              <w:right w:val="double" w:color="000000" w:sz="6" w:space="0"/>
            </w:tcBorders>
            <w:shd w:val="clear" w:color="auto" w:fill="auto"/>
            <w:vAlign w:val="center"/>
          </w:tcPr>
          <w:p>
            <w:pPr>
              <w:autoSpaceDE w:val="0"/>
              <w:spacing w:line="440" w:lineRule="exact"/>
              <w:jc w:val="left"/>
              <w:rPr>
                <w:rFonts w:hint="default" w:ascii="宋体" w:hAnsi="宋体" w:eastAsia="宋体" w:cs="宋体"/>
                <w:b/>
                <w:bCs/>
                <w:color w:val="000000"/>
                <w:sz w:val="24"/>
                <w:lang w:val="en-US" w:eastAsia="zh-CN"/>
              </w:rPr>
            </w:pPr>
            <w:r>
              <w:rPr>
                <w:rFonts w:hint="eastAsia" w:ascii="宋体" w:hAnsi="宋体" w:eastAsia="宋体" w:cs="宋体"/>
                <w:color w:val="000000"/>
                <w:kern w:val="0"/>
                <w:sz w:val="24"/>
                <w:lang w:val="en-US" w:eastAsia="zh-CN"/>
              </w:rPr>
              <w:t>报价分（满分10分）</w:t>
            </w:r>
          </w:p>
        </w:tc>
        <w:tc>
          <w:tcPr>
            <w:tcW w:w="3984" w:type="pct"/>
            <w:tcBorders>
              <w:top w:val="double" w:color="000000" w:sz="6" w:space="0"/>
              <w:left w:val="double" w:color="000000" w:sz="6" w:space="0"/>
              <w:bottom w:val="double" w:color="000000" w:sz="6" w:space="0"/>
              <w:right w:val="double" w:color="000000" w:sz="6" w:space="0"/>
            </w:tcBorders>
            <w:shd w:val="clear" w:color="auto" w:fill="auto"/>
            <w:vAlign w:val="center"/>
          </w:tcPr>
          <w:p>
            <w:pPr>
              <w:autoSpaceDE w:val="0"/>
              <w:spacing w:line="440" w:lineRule="exact"/>
              <w:jc w:val="left"/>
              <w:rPr>
                <w:rFonts w:hint="default" w:ascii="宋体" w:hAnsi="宋体" w:eastAsia="宋体" w:cs="宋体"/>
                <w:b/>
                <w:bCs/>
                <w:color w:val="000000"/>
                <w:sz w:val="24"/>
                <w:lang w:val="en-US" w:eastAsia="zh-CN"/>
              </w:rPr>
            </w:pPr>
            <w:r>
              <w:rPr>
                <w:rFonts w:hint="eastAsia" w:ascii="宋体" w:hAnsi="宋体" w:eastAsia="宋体" w:cs="宋体"/>
                <w:b/>
                <w:bCs/>
                <w:color w:val="000000"/>
                <w:sz w:val="24"/>
                <w:lang w:val="en-US" w:eastAsia="zh-CN"/>
              </w:rPr>
              <w:t>投标报价折扣率得分=投标报价最低折扣率/投标报价有效折扣率*10*100%。（按折扣率计算，折扣率=1-下浮率）</w:t>
            </w:r>
          </w:p>
        </w:tc>
      </w:tr>
      <w:tr>
        <w:tblPrEx>
          <w:tblCellMar>
            <w:top w:w="0" w:type="dxa"/>
            <w:left w:w="108" w:type="dxa"/>
            <w:bottom w:w="0" w:type="dxa"/>
            <w:right w:w="108" w:type="dxa"/>
          </w:tblCellMar>
        </w:tblPrEx>
        <w:trPr>
          <w:trHeight w:val="4472" w:hRule="atLeast"/>
          <w:jc w:val="center"/>
        </w:trPr>
        <w:tc>
          <w:tcPr>
            <w:tcW w:w="386" w:type="pct"/>
            <w:tcBorders>
              <w:top w:val="double" w:color="000000" w:sz="6" w:space="0"/>
              <w:left w:val="double" w:color="000000" w:sz="6" w:space="0"/>
              <w:bottom w:val="double" w:color="000000" w:sz="6" w:space="0"/>
              <w:right w:val="double" w:color="000000" w:sz="6" w:space="0"/>
            </w:tcBorders>
            <w:shd w:val="clear" w:color="auto" w:fill="auto"/>
            <w:vAlign w:val="center"/>
          </w:tcPr>
          <w:p>
            <w:pPr>
              <w:autoSpaceDE w:val="0"/>
              <w:spacing w:line="440" w:lineRule="exact"/>
              <w:ind w:firstLine="108"/>
              <w:jc w:val="center"/>
              <w:rPr>
                <w:rFonts w:hint="eastAsia" w:ascii="宋体" w:hAnsi="宋体" w:eastAsia="宋体"/>
                <w:lang w:eastAsia="zh-CN"/>
              </w:rPr>
            </w:pPr>
            <w:r>
              <w:rPr>
                <w:rFonts w:hint="eastAsia" w:ascii="宋体" w:hAnsi="宋体" w:eastAsia="宋体" w:cs="宋体"/>
                <w:bCs/>
                <w:color w:val="000000"/>
                <w:sz w:val="24"/>
                <w:lang w:val="en-US" w:eastAsia="zh-CN"/>
              </w:rPr>
              <w:t>2</w:t>
            </w:r>
          </w:p>
        </w:tc>
        <w:tc>
          <w:tcPr>
            <w:tcW w:w="628" w:type="pct"/>
            <w:tcBorders>
              <w:top w:val="double" w:color="000000" w:sz="6" w:space="0"/>
              <w:left w:val="double" w:color="000000" w:sz="6" w:space="0"/>
              <w:bottom w:val="double" w:color="000000" w:sz="6" w:space="0"/>
              <w:right w:val="double" w:color="000000" w:sz="6" w:space="0"/>
            </w:tcBorders>
            <w:shd w:val="clear" w:color="auto" w:fill="auto"/>
            <w:vAlign w:val="center"/>
          </w:tcPr>
          <w:p>
            <w:pPr>
              <w:widowControl/>
              <w:autoSpaceDE w:val="0"/>
              <w:snapToGrid w:val="0"/>
              <w:spacing w:line="440" w:lineRule="exact"/>
              <w:jc w:val="center"/>
              <w:rPr>
                <w:rFonts w:ascii="宋体" w:hAnsi="宋体" w:eastAsia="宋体"/>
              </w:rPr>
            </w:pPr>
            <w:r>
              <w:rPr>
                <w:rFonts w:hint="eastAsia" w:ascii="宋体" w:hAnsi="宋体" w:eastAsia="宋体" w:cs="宋体"/>
                <w:color w:val="000000"/>
                <w:kern w:val="0"/>
                <w:sz w:val="24"/>
              </w:rPr>
              <w:t>办公场所（满分10分）</w:t>
            </w:r>
          </w:p>
        </w:tc>
        <w:tc>
          <w:tcPr>
            <w:tcW w:w="3984" w:type="pct"/>
            <w:tcBorders>
              <w:top w:val="double" w:color="000000" w:sz="6" w:space="0"/>
              <w:left w:val="double" w:color="000000" w:sz="6" w:space="0"/>
              <w:bottom w:val="double" w:color="000000" w:sz="6" w:space="0"/>
              <w:right w:val="double" w:color="000000" w:sz="6" w:space="0"/>
            </w:tcBorders>
            <w:shd w:val="clear" w:color="auto" w:fill="auto"/>
            <w:vAlign w:val="center"/>
          </w:tcPr>
          <w:p>
            <w:pPr>
              <w:spacing w:line="440" w:lineRule="exact"/>
              <w:rPr>
                <w:rFonts w:ascii="宋体" w:hAnsi="宋体" w:eastAsia="宋体"/>
              </w:rPr>
            </w:pPr>
            <w:r>
              <w:rPr>
                <w:rFonts w:hint="eastAsia" w:ascii="宋体" w:hAnsi="宋体" w:eastAsia="宋体" w:cs="宋体"/>
                <w:sz w:val="24"/>
              </w:rPr>
              <w:t>招标代理机构在</w:t>
            </w:r>
            <w:r>
              <w:rPr>
                <w:rFonts w:hint="eastAsia" w:ascii="宋体" w:hAnsi="宋体" w:eastAsia="宋体" w:cs="宋体"/>
                <w:sz w:val="24"/>
                <w:lang w:val="en-US" w:eastAsia="zh-CN"/>
              </w:rPr>
              <w:t>贵州省</w:t>
            </w:r>
            <w:r>
              <w:rPr>
                <w:rFonts w:hint="eastAsia" w:ascii="宋体" w:hAnsi="宋体" w:eastAsia="宋体" w:cs="宋体"/>
                <w:sz w:val="24"/>
              </w:rPr>
              <w:t>固定办公场所（购买或租赁）得2分；</w:t>
            </w:r>
          </w:p>
          <w:p>
            <w:pPr>
              <w:pStyle w:val="8"/>
              <w:widowControl/>
              <w:numPr>
                <w:ilvl w:val="0"/>
                <w:numId w:val="2"/>
              </w:numPr>
              <w:autoSpaceDE w:val="0"/>
              <w:snapToGrid w:val="0"/>
              <w:spacing w:line="440" w:lineRule="exact"/>
              <w:rPr>
                <w:rFonts w:ascii="宋体" w:hAnsi="宋体" w:eastAsia="宋体" w:cs="宋体"/>
                <w:sz w:val="24"/>
                <w:szCs w:val="24"/>
              </w:rPr>
            </w:pPr>
            <w:r>
              <w:rPr>
                <w:rFonts w:hint="eastAsia" w:ascii="宋体" w:hAnsi="宋体" w:eastAsia="宋体" w:cs="宋体"/>
                <w:sz w:val="24"/>
                <w:szCs w:val="24"/>
              </w:rPr>
              <w:t>具有独立档案管理室得2分，须提供档案室图片；</w:t>
            </w:r>
          </w:p>
          <w:p>
            <w:pPr>
              <w:pStyle w:val="8"/>
              <w:widowControl/>
              <w:numPr>
                <w:ilvl w:val="0"/>
                <w:numId w:val="2"/>
              </w:numPr>
              <w:autoSpaceDE w:val="0"/>
              <w:snapToGrid w:val="0"/>
              <w:spacing w:line="440" w:lineRule="exact"/>
              <w:rPr>
                <w:rFonts w:ascii="宋体" w:hAnsi="宋体" w:eastAsia="宋体" w:cs="宋体"/>
                <w:sz w:val="24"/>
                <w:szCs w:val="24"/>
              </w:rPr>
            </w:pPr>
            <w:r>
              <w:rPr>
                <w:rFonts w:hint="eastAsia" w:ascii="宋体" w:hAnsi="宋体" w:eastAsia="宋体" w:cs="宋体"/>
                <w:sz w:val="24"/>
                <w:szCs w:val="24"/>
              </w:rPr>
              <w:t>具有独立的评标室得2分，须提供评标室图片；</w:t>
            </w:r>
          </w:p>
          <w:p>
            <w:pPr>
              <w:pStyle w:val="8"/>
              <w:widowControl/>
              <w:numPr>
                <w:ilvl w:val="0"/>
                <w:numId w:val="2"/>
              </w:numPr>
              <w:autoSpaceDE w:val="0"/>
              <w:snapToGrid w:val="0"/>
              <w:spacing w:line="440" w:lineRule="exact"/>
              <w:rPr>
                <w:rFonts w:ascii="宋体" w:hAnsi="宋体" w:eastAsia="宋体" w:cs="宋体"/>
                <w:sz w:val="24"/>
                <w:szCs w:val="24"/>
              </w:rPr>
            </w:pPr>
            <w:r>
              <w:rPr>
                <w:rFonts w:hint="eastAsia" w:ascii="宋体" w:hAnsi="宋体" w:eastAsia="宋体" w:cs="宋体"/>
                <w:sz w:val="24"/>
                <w:szCs w:val="24"/>
              </w:rPr>
              <w:t>具有独立的开标室得2分，须提供开标室图片；</w:t>
            </w:r>
          </w:p>
          <w:p>
            <w:pPr>
              <w:pStyle w:val="8"/>
              <w:widowControl/>
              <w:autoSpaceDE w:val="0"/>
              <w:snapToGrid w:val="0"/>
              <w:spacing w:line="440" w:lineRule="exact"/>
              <w:rPr>
                <w:rFonts w:ascii="宋体" w:hAnsi="宋体" w:eastAsia="宋体"/>
              </w:rPr>
            </w:pPr>
            <w:r>
              <w:rPr>
                <w:rFonts w:hint="eastAsia" w:ascii="宋体" w:hAnsi="宋体" w:eastAsia="宋体" w:cs="宋体"/>
                <w:sz w:val="24"/>
                <w:szCs w:val="24"/>
              </w:rPr>
              <w:t>（4）具备完善的档案管理制度，得2分；</w:t>
            </w:r>
          </w:p>
          <w:p>
            <w:pPr>
              <w:pStyle w:val="8"/>
              <w:widowControl/>
              <w:autoSpaceDE w:val="0"/>
              <w:snapToGrid w:val="0"/>
              <w:spacing w:line="440" w:lineRule="exact"/>
              <w:rPr>
                <w:rFonts w:ascii="宋体" w:hAnsi="宋体" w:eastAsia="宋体"/>
              </w:rPr>
            </w:pPr>
            <w:r>
              <w:rPr>
                <w:rFonts w:hint="eastAsia" w:ascii="宋体" w:hAnsi="宋体" w:eastAsia="宋体" w:cs="宋体"/>
                <w:sz w:val="24"/>
                <w:szCs w:val="24"/>
              </w:rPr>
              <w:t>（5）无或未提供证明材料，得0分。</w:t>
            </w:r>
          </w:p>
          <w:p>
            <w:pPr>
              <w:pStyle w:val="8"/>
              <w:widowControl/>
              <w:autoSpaceDE w:val="0"/>
              <w:snapToGrid w:val="0"/>
              <w:spacing w:line="440" w:lineRule="exact"/>
              <w:rPr>
                <w:rFonts w:ascii="宋体" w:hAnsi="宋体" w:eastAsia="宋体"/>
              </w:rPr>
            </w:pPr>
            <w:r>
              <w:rPr>
                <w:rFonts w:hint="eastAsia" w:ascii="宋体" w:hAnsi="宋体" w:eastAsia="宋体" w:cs="宋体"/>
                <w:b/>
                <w:bCs/>
                <w:sz w:val="24"/>
                <w:szCs w:val="24"/>
              </w:rPr>
              <w:t>注：提供</w:t>
            </w:r>
            <w:r>
              <w:rPr>
                <w:rFonts w:hint="eastAsia" w:ascii="宋体" w:hAnsi="宋体" w:eastAsia="宋体" w:cs="宋体"/>
                <w:b/>
                <w:bCs/>
                <w:sz w:val="24"/>
                <w:szCs w:val="24"/>
                <w:lang w:val="en-US" w:eastAsia="zh-CN"/>
              </w:rPr>
              <w:t>贵州省</w:t>
            </w:r>
            <w:r>
              <w:rPr>
                <w:rFonts w:hint="eastAsia" w:ascii="宋体" w:hAnsi="宋体" w:eastAsia="宋体" w:cs="宋体"/>
                <w:b/>
                <w:bCs/>
                <w:sz w:val="24"/>
                <w:szCs w:val="24"/>
              </w:rPr>
              <w:t>办公场所的证明文件</w:t>
            </w:r>
          </w:p>
          <w:p>
            <w:pPr>
              <w:pStyle w:val="8"/>
              <w:widowControl/>
              <w:autoSpaceDE w:val="0"/>
              <w:snapToGrid w:val="0"/>
              <w:spacing w:line="440" w:lineRule="exact"/>
              <w:rPr>
                <w:rFonts w:ascii="宋体" w:hAnsi="宋体" w:eastAsia="宋体"/>
              </w:rPr>
            </w:pPr>
            <w:r>
              <w:rPr>
                <w:rFonts w:hint="eastAsia" w:ascii="宋体" w:hAnsi="宋体" w:eastAsia="宋体" w:cs="宋体"/>
                <w:sz w:val="24"/>
                <w:szCs w:val="24"/>
              </w:rPr>
              <w:t>代理机构自有物业：产权证；</w:t>
            </w:r>
          </w:p>
          <w:p>
            <w:pPr>
              <w:pStyle w:val="8"/>
              <w:widowControl/>
              <w:autoSpaceDE w:val="0"/>
              <w:snapToGrid w:val="0"/>
              <w:spacing w:line="440" w:lineRule="exact"/>
              <w:rPr>
                <w:rFonts w:ascii="宋体" w:hAnsi="宋体" w:eastAsia="宋体"/>
              </w:rPr>
            </w:pPr>
            <w:r>
              <w:rPr>
                <w:rFonts w:hint="eastAsia" w:ascii="宋体" w:hAnsi="宋体" w:eastAsia="宋体" w:cs="宋体"/>
                <w:sz w:val="24"/>
                <w:szCs w:val="24"/>
              </w:rPr>
              <w:t>代理机构非自有物业：提供办公场所租赁合同及所租赁人产权证明或购房合同文件。</w:t>
            </w:r>
          </w:p>
          <w:p>
            <w:pPr>
              <w:pStyle w:val="8"/>
              <w:widowControl/>
              <w:autoSpaceDE w:val="0"/>
              <w:snapToGrid w:val="0"/>
              <w:spacing w:line="440" w:lineRule="exact"/>
              <w:rPr>
                <w:rFonts w:ascii="宋体" w:hAnsi="宋体" w:eastAsia="宋体"/>
              </w:rPr>
            </w:pPr>
            <w:r>
              <w:rPr>
                <w:rFonts w:hint="eastAsia" w:ascii="宋体" w:hAnsi="宋体" w:eastAsia="宋体" w:cs="宋体"/>
                <w:sz w:val="24"/>
                <w:szCs w:val="24"/>
              </w:rPr>
              <w:t>以上材料提供复印件加盖公章，同时还须提供场所实景照片作为佐证材料，材料缺项视同未提供。</w:t>
            </w:r>
          </w:p>
        </w:tc>
      </w:tr>
      <w:tr>
        <w:tblPrEx>
          <w:tblCellMar>
            <w:top w:w="0" w:type="dxa"/>
            <w:left w:w="108" w:type="dxa"/>
            <w:bottom w:w="0" w:type="dxa"/>
            <w:right w:w="108" w:type="dxa"/>
          </w:tblCellMar>
        </w:tblPrEx>
        <w:trPr>
          <w:trHeight w:val="657" w:hRule="atLeast"/>
          <w:jc w:val="center"/>
        </w:trPr>
        <w:tc>
          <w:tcPr>
            <w:tcW w:w="386" w:type="pct"/>
            <w:tcBorders>
              <w:top w:val="double" w:color="000000" w:sz="6" w:space="0"/>
              <w:left w:val="double" w:color="000000" w:sz="6" w:space="0"/>
              <w:bottom w:val="double" w:color="000000" w:sz="6" w:space="0"/>
              <w:right w:val="double" w:color="000000" w:sz="6" w:space="0"/>
            </w:tcBorders>
            <w:shd w:val="clear" w:color="auto" w:fill="auto"/>
            <w:vAlign w:val="center"/>
          </w:tcPr>
          <w:p>
            <w:pPr>
              <w:autoSpaceDE w:val="0"/>
              <w:spacing w:line="440" w:lineRule="exact"/>
              <w:ind w:firstLine="108"/>
              <w:jc w:val="center"/>
              <w:rPr>
                <w:rFonts w:hint="eastAsia" w:ascii="宋体" w:hAnsi="宋体" w:eastAsia="宋体"/>
                <w:lang w:eastAsia="zh-CN"/>
              </w:rPr>
            </w:pPr>
            <w:r>
              <w:rPr>
                <w:rFonts w:hint="eastAsia" w:ascii="宋体" w:hAnsi="宋体" w:eastAsia="宋体" w:cs="宋体"/>
                <w:bCs/>
                <w:color w:val="000000"/>
                <w:sz w:val="24"/>
                <w:lang w:val="en-US" w:eastAsia="zh-CN"/>
              </w:rPr>
              <w:t>3</w:t>
            </w:r>
          </w:p>
        </w:tc>
        <w:tc>
          <w:tcPr>
            <w:tcW w:w="628" w:type="pct"/>
            <w:tcBorders>
              <w:top w:val="double" w:color="000000" w:sz="6" w:space="0"/>
              <w:left w:val="double" w:color="000000" w:sz="6" w:space="0"/>
              <w:bottom w:val="double" w:color="000000" w:sz="6" w:space="0"/>
              <w:right w:val="double" w:color="000000" w:sz="6" w:space="0"/>
            </w:tcBorders>
            <w:shd w:val="clear" w:color="auto" w:fill="auto"/>
            <w:vAlign w:val="center"/>
          </w:tcPr>
          <w:p>
            <w:pPr>
              <w:widowControl/>
              <w:autoSpaceDE w:val="0"/>
              <w:snapToGrid w:val="0"/>
              <w:spacing w:line="440" w:lineRule="exact"/>
              <w:rPr>
                <w:rFonts w:ascii="宋体" w:hAnsi="宋体" w:eastAsia="宋体"/>
              </w:rPr>
            </w:pPr>
            <w:r>
              <w:rPr>
                <w:rFonts w:hint="eastAsia" w:ascii="宋体" w:hAnsi="宋体" w:eastAsia="宋体" w:cs="宋体"/>
                <w:color w:val="000000"/>
                <w:kern w:val="0"/>
                <w:sz w:val="24"/>
              </w:rPr>
              <w:t>人员情况（满分12分）</w:t>
            </w:r>
          </w:p>
        </w:tc>
        <w:tc>
          <w:tcPr>
            <w:tcW w:w="3984" w:type="pct"/>
            <w:tcBorders>
              <w:top w:val="double" w:color="000000" w:sz="6" w:space="0"/>
              <w:left w:val="double" w:color="000000" w:sz="6" w:space="0"/>
              <w:bottom w:val="double" w:color="000000" w:sz="6" w:space="0"/>
              <w:right w:val="double" w:color="000000" w:sz="6" w:space="0"/>
            </w:tcBorders>
            <w:shd w:val="clear" w:color="auto" w:fill="auto"/>
            <w:vAlign w:val="center"/>
          </w:tcPr>
          <w:p>
            <w:pPr>
              <w:spacing w:line="440" w:lineRule="exact"/>
              <w:rPr>
                <w:rFonts w:ascii="宋体" w:hAnsi="宋体" w:eastAsia="宋体"/>
              </w:rPr>
            </w:pPr>
            <w:r>
              <w:rPr>
                <w:rFonts w:hint="eastAsia" w:ascii="宋体" w:hAnsi="宋体" w:eastAsia="宋体" w:cs="宋体"/>
                <w:b/>
                <w:bCs/>
                <w:sz w:val="24"/>
              </w:rPr>
              <w:t>拟派入本项目的人员配备情况（满分12分）</w:t>
            </w:r>
          </w:p>
          <w:p>
            <w:pPr>
              <w:widowControl/>
              <w:spacing w:line="440" w:lineRule="exact"/>
              <w:rPr>
                <w:rFonts w:ascii="宋体" w:hAnsi="宋体" w:eastAsia="宋体"/>
              </w:rPr>
            </w:pPr>
            <w:r>
              <w:rPr>
                <w:rFonts w:hint="eastAsia" w:ascii="宋体" w:hAnsi="宋体" w:eastAsia="宋体" w:cs="宋体"/>
                <w:sz w:val="24"/>
              </w:rPr>
              <w:t>（1）成立专门的项目组，项目负责人从业年限在5年以上的加3分，3年以上的加1分，其他不得分；具有高级职称的加3分，具有中级职称的加1分，其他不得分。满分6分。</w:t>
            </w:r>
          </w:p>
          <w:p>
            <w:pPr>
              <w:spacing w:line="440" w:lineRule="exact"/>
              <w:rPr>
                <w:rFonts w:ascii="宋体" w:hAnsi="宋体" w:eastAsia="宋体"/>
              </w:rPr>
            </w:pPr>
            <w:r>
              <w:rPr>
                <w:rFonts w:hint="eastAsia" w:ascii="宋体" w:hAnsi="宋体" w:eastAsia="宋体" w:cs="宋体"/>
                <w:b/>
                <w:bCs/>
                <w:sz w:val="24"/>
              </w:rPr>
              <w:t>注：须提供项目负责人职称证书、单位任职期限证明、202</w:t>
            </w:r>
            <w:r>
              <w:rPr>
                <w:rFonts w:hint="eastAsia" w:ascii="宋体" w:hAnsi="宋体" w:cs="宋体"/>
                <w:b/>
                <w:bCs/>
                <w:sz w:val="24"/>
                <w:lang w:val="en-US" w:eastAsia="zh-CN"/>
              </w:rPr>
              <w:t>3</w:t>
            </w:r>
            <w:r>
              <w:rPr>
                <w:rFonts w:hint="eastAsia" w:ascii="宋体" w:hAnsi="宋体" w:eastAsia="宋体" w:cs="宋体"/>
                <w:b/>
                <w:bCs/>
                <w:sz w:val="24"/>
              </w:rPr>
              <w:t>年以来任意</w:t>
            </w:r>
            <w:r>
              <w:rPr>
                <w:rFonts w:hint="eastAsia" w:ascii="宋体" w:hAnsi="宋体" w:cs="宋体"/>
                <w:b/>
                <w:bCs/>
                <w:sz w:val="24"/>
                <w:lang w:val="en-US" w:eastAsia="zh-CN"/>
              </w:rPr>
              <w:t>一</w:t>
            </w:r>
            <w:r>
              <w:rPr>
                <w:rFonts w:hint="eastAsia" w:ascii="宋体" w:hAnsi="宋体" w:eastAsia="宋体" w:cs="宋体"/>
                <w:b/>
                <w:bCs/>
                <w:sz w:val="24"/>
              </w:rPr>
              <w:t>个月的社保缴纳凭证等相关证明材料。</w:t>
            </w:r>
          </w:p>
          <w:p>
            <w:pPr>
              <w:spacing w:line="440" w:lineRule="exact"/>
              <w:rPr>
                <w:rFonts w:ascii="宋体" w:hAnsi="宋体" w:eastAsia="宋体"/>
              </w:rPr>
            </w:pPr>
            <w:r>
              <w:rPr>
                <w:rFonts w:hint="eastAsia" w:ascii="宋体" w:hAnsi="宋体" w:eastAsia="宋体" w:cs="宋体"/>
                <w:sz w:val="24"/>
              </w:rPr>
              <w:t>（2）除项目负责人外，项目组成员不低于3人，拥有熟悉招标投标法律法规、具备编制采购文件、招标文件和组织招投标活动等相应能力的专职从业人员数量满足3人得</w:t>
            </w:r>
            <w:r>
              <w:rPr>
                <w:rFonts w:hint="eastAsia" w:ascii="宋体" w:hAnsi="宋体" w:cs="宋体"/>
                <w:sz w:val="24"/>
                <w:lang w:val="en-US" w:eastAsia="zh-CN"/>
              </w:rPr>
              <w:t>6</w:t>
            </w:r>
            <w:r>
              <w:rPr>
                <w:rFonts w:hint="eastAsia" w:ascii="宋体" w:hAnsi="宋体" w:eastAsia="宋体" w:cs="宋体"/>
                <w:sz w:val="24"/>
              </w:rPr>
              <w:t>分，满分得6分。</w:t>
            </w:r>
          </w:p>
          <w:p>
            <w:pPr>
              <w:spacing w:line="440" w:lineRule="exact"/>
              <w:rPr>
                <w:rFonts w:ascii="宋体" w:hAnsi="宋体" w:eastAsia="宋体"/>
              </w:rPr>
            </w:pPr>
            <w:r>
              <w:rPr>
                <w:rFonts w:hint="eastAsia" w:ascii="宋体" w:hAnsi="宋体" w:eastAsia="宋体" w:cs="宋体"/>
                <w:b/>
                <w:bCs/>
                <w:sz w:val="24"/>
              </w:rPr>
              <w:t>注：提供招标采购专职人员证书，202</w:t>
            </w:r>
            <w:r>
              <w:rPr>
                <w:rFonts w:hint="eastAsia" w:ascii="宋体" w:hAnsi="宋体" w:cs="宋体"/>
                <w:b/>
                <w:bCs/>
                <w:sz w:val="24"/>
                <w:lang w:val="en-US" w:eastAsia="zh-CN"/>
              </w:rPr>
              <w:t>3</w:t>
            </w:r>
            <w:r>
              <w:rPr>
                <w:rFonts w:hint="eastAsia" w:ascii="宋体" w:hAnsi="宋体" w:eastAsia="宋体" w:cs="宋体"/>
                <w:b/>
                <w:bCs/>
                <w:sz w:val="24"/>
              </w:rPr>
              <w:t>年以来任意</w:t>
            </w:r>
            <w:r>
              <w:rPr>
                <w:rFonts w:hint="eastAsia" w:ascii="宋体" w:hAnsi="宋体" w:cs="宋体"/>
                <w:b/>
                <w:bCs/>
                <w:sz w:val="24"/>
                <w:lang w:val="en-US" w:eastAsia="zh-CN"/>
              </w:rPr>
              <w:t>一</w:t>
            </w:r>
            <w:r>
              <w:rPr>
                <w:rFonts w:hint="eastAsia" w:ascii="宋体" w:hAnsi="宋体" w:eastAsia="宋体" w:cs="宋体"/>
                <w:b/>
                <w:bCs/>
                <w:sz w:val="24"/>
              </w:rPr>
              <w:t>个月的社保缴纳凭证等相关证明材料。</w:t>
            </w:r>
          </w:p>
        </w:tc>
      </w:tr>
      <w:tr>
        <w:tblPrEx>
          <w:tblCellMar>
            <w:top w:w="0" w:type="dxa"/>
            <w:left w:w="108" w:type="dxa"/>
            <w:bottom w:w="0" w:type="dxa"/>
            <w:right w:w="108" w:type="dxa"/>
          </w:tblCellMar>
        </w:tblPrEx>
        <w:trPr>
          <w:cantSplit/>
          <w:trHeight w:val="4960" w:hRule="atLeast"/>
          <w:jc w:val="center"/>
        </w:trPr>
        <w:tc>
          <w:tcPr>
            <w:tcW w:w="386" w:type="pct"/>
            <w:tcBorders>
              <w:top w:val="double" w:color="000000" w:sz="6" w:space="0"/>
              <w:left w:val="double" w:color="000000" w:sz="6" w:space="0"/>
              <w:bottom w:val="double" w:color="000000" w:sz="6" w:space="0"/>
              <w:right w:val="double" w:color="000000" w:sz="6" w:space="0"/>
            </w:tcBorders>
            <w:shd w:val="clear" w:color="auto" w:fill="auto"/>
            <w:vAlign w:val="center"/>
          </w:tcPr>
          <w:p>
            <w:pPr>
              <w:autoSpaceDE w:val="0"/>
              <w:spacing w:line="440" w:lineRule="exact"/>
              <w:ind w:firstLine="108"/>
              <w:jc w:val="center"/>
              <w:rPr>
                <w:rFonts w:hint="eastAsia" w:ascii="宋体" w:hAnsi="宋体" w:eastAsia="宋体"/>
                <w:lang w:eastAsia="zh-CN"/>
              </w:rPr>
            </w:pPr>
            <w:r>
              <w:rPr>
                <w:rFonts w:hint="eastAsia" w:ascii="宋体" w:hAnsi="宋体" w:eastAsia="宋体" w:cs="宋体"/>
                <w:bCs/>
                <w:sz w:val="24"/>
                <w:lang w:val="en-US" w:eastAsia="zh-CN"/>
              </w:rPr>
              <w:t>4</w:t>
            </w:r>
          </w:p>
        </w:tc>
        <w:tc>
          <w:tcPr>
            <w:tcW w:w="628" w:type="pct"/>
            <w:tcBorders>
              <w:top w:val="double" w:color="000000" w:sz="6" w:space="0"/>
              <w:left w:val="double" w:color="000000" w:sz="6" w:space="0"/>
              <w:bottom w:val="double" w:color="000000" w:sz="6" w:space="0"/>
              <w:right w:val="double" w:color="000000" w:sz="6" w:space="0"/>
            </w:tcBorders>
            <w:shd w:val="clear" w:color="auto" w:fill="FFFFFF"/>
            <w:vAlign w:val="center"/>
          </w:tcPr>
          <w:p>
            <w:pPr>
              <w:pStyle w:val="8"/>
              <w:widowControl/>
              <w:autoSpaceDE w:val="0"/>
              <w:snapToGrid w:val="0"/>
              <w:spacing w:line="440" w:lineRule="exact"/>
              <w:jc w:val="center"/>
              <w:rPr>
                <w:rFonts w:ascii="宋体" w:hAnsi="宋体" w:eastAsia="宋体"/>
              </w:rPr>
            </w:pPr>
            <w:r>
              <w:rPr>
                <w:rFonts w:hint="eastAsia" w:ascii="宋体" w:hAnsi="宋体" w:eastAsia="宋体" w:cs="宋体"/>
                <w:kern w:val="0"/>
                <w:sz w:val="24"/>
                <w:szCs w:val="24"/>
              </w:rPr>
              <w:t>业绩评价</w:t>
            </w:r>
          </w:p>
          <w:p>
            <w:pPr>
              <w:pStyle w:val="8"/>
              <w:widowControl/>
              <w:autoSpaceDE w:val="0"/>
              <w:snapToGrid w:val="0"/>
              <w:spacing w:line="440" w:lineRule="exact"/>
              <w:jc w:val="center"/>
              <w:rPr>
                <w:rFonts w:ascii="宋体" w:hAnsi="宋体" w:eastAsia="宋体"/>
              </w:rPr>
            </w:pPr>
            <w:r>
              <w:rPr>
                <w:rFonts w:hint="eastAsia" w:ascii="宋体" w:hAnsi="宋体" w:eastAsia="宋体" w:cs="宋体"/>
                <w:kern w:val="0"/>
                <w:sz w:val="24"/>
                <w:szCs w:val="24"/>
              </w:rPr>
              <w:t>（</w:t>
            </w:r>
            <w:r>
              <w:rPr>
                <w:rFonts w:hint="eastAsia" w:cs="宋体"/>
                <w:kern w:val="0"/>
                <w:sz w:val="24"/>
                <w:szCs w:val="24"/>
                <w:lang w:val="en-US" w:eastAsia="zh-CN"/>
              </w:rPr>
              <w:t>25</w:t>
            </w:r>
            <w:r>
              <w:rPr>
                <w:rFonts w:hint="eastAsia" w:ascii="宋体" w:hAnsi="宋体" w:eastAsia="宋体" w:cs="宋体"/>
                <w:kern w:val="0"/>
                <w:sz w:val="24"/>
                <w:szCs w:val="24"/>
              </w:rPr>
              <w:t>分）</w:t>
            </w:r>
          </w:p>
        </w:tc>
        <w:tc>
          <w:tcPr>
            <w:tcW w:w="3984" w:type="pct"/>
            <w:tcBorders>
              <w:top w:val="double" w:color="000000" w:sz="6" w:space="0"/>
              <w:left w:val="double" w:color="000000" w:sz="6" w:space="0"/>
              <w:bottom w:val="double" w:color="000000" w:sz="6" w:space="0"/>
              <w:right w:val="double" w:color="000000" w:sz="6" w:space="0"/>
            </w:tcBorders>
            <w:shd w:val="clear" w:color="auto" w:fill="FFFFFF"/>
            <w:vAlign w:val="center"/>
          </w:tcPr>
          <w:p>
            <w:pPr>
              <w:spacing w:line="440" w:lineRule="exact"/>
              <w:rPr>
                <w:rFonts w:ascii="宋体" w:hAnsi="宋体" w:eastAsia="宋体"/>
              </w:rPr>
            </w:pPr>
            <w:r>
              <w:rPr>
                <w:rFonts w:hint="eastAsia" w:ascii="宋体" w:hAnsi="宋体" w:eastAsia="宋体" w:cs="宋体"/>
                <w:b/>
                <w:bCs/>
                <w:sz w:val="24"/>
              </w:rPr>
              <w:t>招标代理业绩评价（满分</w:t>
            </w:r>
            <w:r>
              <w:rPr>
                <w:rFonts w:hint="eastAsia" w:ascii="宋体" w:hAnsi="宋体" w:cs="宋体"/>
                <w:b/>
                <w:bCs/>
                <w:sz w:val="24"/>
                <w:lang w:val="en-US" w:eastAsia="zh-CN"/>
              </w:rPr>
              <w:t>2</w:t>
            </w:r>
            <w:r>
              <w:rPr>
                <w:rFonts w:hint="eastAsia" w:ascii="宋体" w:hAnsi="宋体" w:eastAsia="宋体" w:cs="宋体"/>
                <w:b/>
                <w:bCs/>
                <w:sz w:val="24"/>
              </w:rPr>
              <w:t>5分）</w:t>
            </w:r>
          </w:p>
          <w:p>
            <w:pPr>
              <w:spacing w:line="440" w:lineRule="exact"/>
              <w:rPr>
                <w:rFonts w:ascii="宋体" w:hAnsi="宋体" w:eastAsia="宋体"/>
              </w:rPr>
            </w:pPr>
            <w:r>
              <w:rPr>
                <w:rFonts w:hint="eastAsia" w:ascii="宋体" w:hAnsi="宋体" w:eastAsia="宋体" w:cs="宋体"/>
                <w:sz w:val="24"/>
              </w:rPr>
              <w:t>（1）提供2020年1月1日以来采购类项目中标金额200万元以上或工程类项目中标金额2000万元以上：提供5个得5分，后每增加1个得1分，本项最高得10分；</w:t>
            </w:r>
          </w:p>
          <w:p>
            <w:pPr>
              <w:spacing w:line="440" w:lineRule="exact"/>
              <w:rPr>
                <w:rFonts w:ascii="宋体" w:hAnsi="宋体" w:eastAsia="宋体"/>
              </w:rPr>
            </w:pPr>
            <w:r>
              <w:rPr>
                <w:rFonts w:hint="eastAsia" w:ascii="宋体" w:hAnsi="宋体" w:eastAsia="宋体" w:cs="宋体"/>
                <w:b/>
                <w:bCs/>
                <w:sz w:val="24"/>
              </w:rPr>
              <w:t>注：提供委托代理合同（协议）、中标通知书，未提供齐不得分；同一采购人（或招标人）的采购（或招标）项目按一个有效业绩予以计分。</w:t>
            </w:r>
          </w:p>
          <w:p>
            <w:pPr>
              <w:spacing w:line="440" w:lineRule="exact"/>
              <w:rPr>
                <w:rFonts w:ascii="宋体" w:hAnsi="宋体" w:eastAsia="宋体"/>
              </w:rPr>
            </w:pPr>
            <w:r>
              <w:rPr>
                <w:rFonts w:hint="eastAsia" w:ascii="宋体" w:hAnsi="宋体" w:eastAsia="宋体" w:cs="宋体"/>
                <w:sz w:val="24"/>
              </w:rPr>
              <w:t>（2）提供2020年1月1日以来</w:t>
            </w:r>
            <w:r>
              <w:rPr>
                <w:rFonts w:hint="eastAsia" w:ascii="宋体" w:hAnsi="宋体" w:eastAsia="宋体" w:cs="宋体"/>
                <w:sz w:val="24"/>
                <w:lang w:val="en-US" w:eastAsia="zh-CN"/>
              </w:rPr>
              <w:t>入围</w:t>
            </w:r>
            <w:r>
              <w:rPr>
                <w:rFonts w:hint="eastAsia" w:ascii="宋体" w:hAnsi="宋体" w:eastAsia="宋体" w:cs="宋体"/>
                <w:sz w:val="24"/>
              </w:rPr>
              <w:t>服务期为1年或以上招标代理库，提供一个得5分，本项最高得5分。</w:t>
            </w:r>
          </w:p>
          <w:p>
            <w:pPr>
              <w:spacing w:line="440" w:lineRule="exact"/>
              <w:rPr>
                <w:rFonts w:ascii="宋体" w:hAnsi="宋体" w:eastAsia="宋体"/>
              </w:rPr>
            </w:pPr>
            <w:r>
              <w:rPr>
                <w:rFonts w:hint="eastAsia" w:ascii="宋体" w:hAnsi="宋体" w:eastAsia="宋体" w:cs="宋体"/>
                <w:b/>
                <w:bCs/>
                <w:sz w:val="24"/>
              </w:rPr>
              <w:t>注：提供</w:t>
            </w:r>
            <w:r>
              <w:rPr>
                <w:rFonts w:hint="eastAsia" w:ascii="宋体" w:hAnsi="宋体" w:eastAsia="宋体" w:cs="宋体"/>
                <w:b/>
                <w:bCs/>
                <w:sz w:val="24"/>
                <w:lang w:eastAsia="zh-CN"/>
              </w:rPr>
              <w:t>成交</w:t>
            </w:r>
            <w:r>
              <w:rPr>
                <w:rFonts w:hint="eastAsia" w:ascii="宋体" w:hAnsi="宋体" w:eastAsia="宋体" w:cs="宋体"/>
                <w:b/>
                <w:bCs/>
                <w:sz w:val="24"/>
              </w:rPr>
              <w:t>网络截图或入库（围）合同或中标通知书，未提供不得分。</w:t>
            </w:r>
          </w:p>
          <w:p>
            <w:pPr>
              <w:spacing w:line="440" w:lineRule="exact"/>
              <w:rPr>
                <w:rFonts w:ascii="宋体" w:hAnsi="宋体" w:eastAsia="宋体"/>
              </w:rPr>
            </w:pPr>
            <w:r>
              <w:rPr>
                <w:rFonts w:hint="eastAsia" w:ascii="宋体" w:hAnsi="宋体" w:eastAsia="宋体" w:cs="宋体"/>
                <w:sz w:val="24"/>
              </w:rPr>
              <w:t>（3）比选申请人提供2020年度以来采购人满意度在“优秀、好或满意及以上”的，每提供1个得1分，本项最高得</w:t>
            </w:r>
            <w:r>
              <w:rPr>
                <w:rFonts w:hint="eastAsia" w:ascii="宋体" w:hAnsi="宋体" w:eastAsia="宋体" w:cs="宋体"/>
                <w:sz w:val="24"/>
                <w:lang w:val="en-US" w:eastAsia="zh-CN"/>
              </w:rPr>
              <w:t>10</w:t>
            </w:r>
            <w:r>
              <w:rPr>
                <w:rFonts w:hint="eastAsia" w:ascii="宋体" w:hAnsi="宋体" w:eastAsia="宋体" w:cs="宋体"/>
                <w:sz w:val="24"/>
              </w:rPr>
              <w:t>分。</w:t>
            </w:r>
          </w:p>
          <w:p>
            <w:pPr>
              <w:spacing w:line="440" w:lineRule="exact"/>
              <w:rPr>
                <w:rFonts w:ascii="宋体" w:hAnsi="宋体" w:eastAsia="宋体"/>
              </w:rPr>
            </w:pPr>
            <w:r>
              <w:rPr>
                <w:rFonts w:hint="eastAsia" w:ascii="宋体" w:hAnsi="宋体" w:eastAsia="宋体" w:cs="宋体"/>
                <w:b/>
                <w:bCs/>
                <w:sz w:val="24"/>
              </w:rPr>
              <w:t>注：提供加盖采购人公章的证明材料，同一采购人（或招标人）的采购（或招标）项目按一个有效材料予以计分。</w:t>
            </w:r>
          </w:p>
        </w:tc>
      </w:tr>
      <w:tr>
        <w:tblPrEx>
          <w:tblCellMar>
            <w:top w:w="0" w:type="dxa"/>
            <w:left w:w="108" w:type="dxa"/>
            <w:bottom w:w="0" w:type="dxa"/>
            <w:right w:w="108" w:type="dxa"/>
          </w:tblCellMar>
        </w:tblPrEx>
        <w:trPr>
          <w:cantSplit/>
          <w:trHeight w:val="2271" w:hRule="atLeast"/>
          <w:jc w:val="center"/>
        </w:trPr>
        <w:tc>
          <w:tcPr>
            <w:tcW w:w="386" w:type="pct"/>
            <w:tcBorders>
              <w:top w:val="double" w:color="000000" w:sz="6" w:space="0"/>
              <w:left w:val="double" w:color="000000" w:sz="6" w:space="0"/>
              <w:bottom w:val="double" w:color="000000" w:sz="6" w:space="0"/>
              <w:right w:val="double" w:color="000000" w:sz="6" w:space="0"/>
            </w:tcBorders>
            <w:shd w:val="clear" w:color="auto" w:fill="auto"/>
            <w:vAlign w:val="center"/>
          </w:tcPr>
          <w:p>
            <w:pPr>
              <w:autoSpaceDE w:val="0"/>
              <w:spacing w:line="440" w:lineRule="exact"/>
              <w:ind w:firstLine="108"/>
              <w:jc w:val="center"/>
              <w:rPr>
                <w:rFonts w:hint="eastAsia" w:ascii="宋体" w:hAnsi="宋体" w:eastAsia="宋体"/>
                <w:lang w:eastAsia="zh-CN"/>
              </w:rPr>
            </w:pPr>
            <w:r>
              <w:rPr>
                <w:rFonts w:hint="eastAsia" w:ascii="宋体" w:hAnsi="宋体" w:eastAsia="宋体" w:cs="宋体"/>
                <w:bCs/>
                <w:sz w:val="24"/>
                <w:lang w:val="en-US" w:eastAsia="zh-CN"/>
              </w:rPr>
              <w:t>5</w:t>
            </w:r>
          </w:p>
        </w:tc>
        <w:tc>
          <w:tcPr>
            <w:tcW w:w="628" w:type="pct"/>
            <w:tcBorders>
              <w:top w:val="double" w:color="000000" w:sz="6" w:space="0"/>
              <w:left w:val="double" w:color="000000" w:sz="6" w:space="0"/>
              <w:bottom w:val="double" w:color="000000" w:sz="6" w:space="0"/>
              <w:right w:val="double" w:color="000000" w:sz="6" w:space="0"/>
            </w:tcBorders>
            <w:shd w:val="clear" w:color="auto" w:fill="FFFFFF"/>
            <w:vAlign w:val="center"/>
          </w:tcPr>
          <w:p>
            <w:pPr>
              <w:pStyle w:val="8"/>
              <w:widowControl/>
              <w:autoSpaceDE w:val="0"/>
              <w:snapToGrid w:val="0"/>
              <w:spacing w:line="440" w:lineRule="exact"/>
              <w:jc w:val="center"/>
              <w:rPr>
                <w:rFonts w:ascii="宋体" w:hAnsi="宋体" w:eastAsia="宋体"/>
              </w:rPr>
            </w:pPr>
            <w:r>
              <w:rPr>
                <w:rFonts w:hint="eastAsia" w:ascii="宋体" w:hAnsi="宋体" w:eastAsia="宋体" w:cs="宋体"/>
                <w:kern w:val="0"/>
                <w:sz w:val="24"/>
                <w:szCs w:val="24"/>
              </w:rPr>
              <w:t>公司管理制度（10分）</w:t>
            </w:r>
          </w:p>
        </w:tc>
        <w:tc>
          <w:tcPr>
            <w:tcW w:w="3984" w:type="pct"/>
            <w:tcBorders>
              <w:top w:val="double" w:color="000000" w:sz="6" w:space="0"/>
              <w:left w:val="double" w:color="000000" w:sz="6" w:space="0"/>
              <w:bottom w:val="double" w:color="000000" w:sz="6" w:space="0"/>
              <w:right w:val="double" w:color="000000" w:sz="6" w:space="0"/>
            </w:tcBorders>
            <w:shd w:val="clear" w:color="auto" w:fill="FFFFFF"/>
            <w:vAlign w:val="center"/>
          </w:tcPr>
          <w:p>
            <w:pPr>
              <w:widowControl/>
              <w:spacing w:line="440" w:lineRule="exact"/>
              <w:rPr>
                <w:rFonts w:ascii="宋体" w:hAnsi="宋体" w:eastAsia="宋体"/>
              </w:rPr>
            </w:pPr>
            <w:r>
              <w:rPr>
                <w:rFonts w:hint="eastAsia" w:ascii="宋体" w:hAnsi="宋体" w:eastAsia="宋体" w:cs="宋体"/>
                <w:sz w:val="24"/>
              </w:rPr>
              <w:t>提供公司组织架构、内部有效的管理制度（包括廉洁制度、招标文件内部审核制度、保密制度、财务制度等），本项满分10分。</w:t>
            </w:r>
          </w:p>
          <w:p>
            <w:pPr>
              <w:spacing w:line="440" w:lineRule="exact"/>
              <w:rPr>
                <w:rFonts w:ascii="宋体" w:hAnsi="宋体" w:eastAsia="宋体"/>
              </w:rPr>
            </w:pPr>
            <w:r>
              <w:rPr>
                <w:rFonts w:hint="eastAsia" w:ascii="宋体" w:hAnsi="宋体" w:eastAsia="宋体" w:cs="宋体"/>
                <w:sz w:val="24"/>
              </w:rPr>
              <w:t>注：评审委员会根据比选申请人提供的管理制度完善性、合理性、先进性进行综合评分</w:t>
            </w:r>
          </w:p>
          <w:p>
            <w:pPr>
              <w:spacing w:line="440" w:lineRule="exact"/>
              <w:rPr>
                <w:rFonts w:ascii="宋体" w:hAnsi="宋体" w:eastAsia="宋体"/>
              </w:rPr>
            </w:pPr>
            <w:r>
              <w:rPr>
                <w:rFonts w:hint="eastAsia" w:ascii="宋体" w:hAnsi="宋体" w:eastAsia="宋体" w:cs="宋体"/>
                <w:sz w:val="24"/>
              </w:rPr>
              <w:t>（1）优得7～10分</w:t>
            </w:r>
          </w:p>
          <w:p>
            <w:pPr>
              <w:spacing w:line="440" w:lineRule="exact"/>
              <w:rPr>
                <w:rFonts w:ascii="宋体" w:hAnsi="宋体" w:eastAsia="宋体"/>
              </w:rPr>
            </w:pPr>
            <w:r>
              <w:rPr>
                <w:rFonts w:hint="eastAsia" w:ascii="宋体" w:hAnsi="宋体" w:eastAsia="宋体" w:cs="宋体"/>
                <w:sz w:val="24"/>
              </w:rPr>
              <w:t>（2）良得4～6分</w:t>
            </w:r>
          </w:p>
          <w:p>
            <w:pPr>
              <w:spacing w:line="440" w:lineRule="exact"/>
              <w:rPr>
                <w:rFonts w:ascii="宋体" w:hAnsi="宋体" w:eastAsia="宋体"/>
              </w:rPr>
            </w:pPr>
            <w:r>
              <w:rPr>
                <w:rFonts w:hint="eastAsia" w:ascii="宋体" w:hAnsi="宋体" w:eastAsia="宋体" w:cs="宋体"/>
                <w:sz w:val="24"/>
              </w:rPr>
              <w:t>（3）差得1～3分</w:t>
            </w:r>
          </w:p>
          <w:p>
            <w:pPr>
              <w:pStyle w:val="4"/>
              <w:spacing w:line="440" w:lineRule="exact"/>
              <w:rPr>
                <w:rFonts w:ascii="宋体" w:hAnsi="宋体" w:eastAsia="宋体"/>
                <w:lang w:val="en-US"/>
              </w:rPr>
            </w:pPr>
            <w:r>
              <w:rPr>
                <w:rFonts w:hint="eastAsia" w:ascii="宋体" w:hAnsi="宋体" w:eastAsia="宋体"/>
                <w:color w:val="000000"/>
                <w:lang w:val="en-US"/>
              </w:rPr>
              <w:t>（4）未提供的，</w:t>
            </w:r>
            <w:r>
              <w:rPr>
                <w:rFonts w:hint="eastAsia" w:ascii="宋体" w:hAnsi="宋体" w:eastAsia="宋体"/>
              </w:rPr>
              <w:t>得</w:t>
            </w:r>
            <w:r>
              <w:rPr>
                <w:rFonts w:hint="eastAsia" w:ascii="宋体" w:hAnsi="宋体" w:eastAsia="宋体"/>
                <w:lang w:val="en-US"/>
              </w:rPr>
              <w:t>0</w:t>
            </w:r>
            <w:r>
              <w:rPr>
                <w:rFonts w:hint="eastAsia" w:ascii="宋体" w:hAnsi="宋体" w:eastAsia="宋体"/>
              </w:rPr>
              <w:t>分。</w:t>
            </w:r>
          </w:p>
        </w:tc>
      </w:tr>
      <w:tr>
        <w:tblPrEx>
          <w:tblCellMar>
            <w:top w:w="0" w:type="dxa"/>
            <w:left w:w="108" w:type="dxa"/>
            <w:bottom w:w="0" w:type="dxa"/>
            <w:right w:w="108" w:type="dxa"/>
          </w:tblCellMar>
        </w:tblPrEx>
        <w:trPr>
          <w:cantSplit/>
          <w:trHeight w:val="1965" w:hRule="atLeast"/>
          <w:jc w:val="center"/>
        </w:trPr>
        <w:tc>
          <w:tcPr>
            <w:tcW w:w="386" w:type="pct"/>
            <w:tcBorders>
              <w:top w:val="double" w:color="000000" w:sz="6" w:space="0"/>
              <w:left w:val="double" w:color="000000" w:sz="6" w:space="0"/>
              <w:bottom w:val="double" w:color="000000" w:sz="6" w:space="0"/>
              <w:right w:val="double" w:color="000000" w:sz="6" w:space="0"/>
            </w:tcBorders>
            <w:shd w:val="clear" w:color="auto" w:fill="auto"/>
            <w:vAlign w:val="center"/>
          </w:tcPr>
          <w:p>
            <w:pPr>
              <w:autoSpaceDE w:val="0"/>
              <w:spacing w:line="440" w:lineRule="exact"/>
              <w:ind w:firstLine="108"/>
              <w:jc w:val="center"/>
              <w:rPr>
                <w:rFonts w:hint="eastAsia" w:ascii="宋体" w:hAnsi="宋体" w:eastAsia="宋体"/>
                <w:lang w:eastAsia="zh-CN"/>
              </w:rPr>
            </w:pPr>
            <w:r>
              <w:rPr>
                <w:rFonts w:hint="eastAsia" w:ascii="宋体" w:hAnsi="宋体" w:eastAsia="宋体" w:cs="宋体"/>
                <w:bCs/>
                <w:sz w:val="24"/>
                <w:lang w:val="en-US" w:eastAsia="zh-CN"/>
              </w:rPr>
              <w:t>6</w:t>
            </w:r>
          </w:p>
        </w:tc>
        <w:tc>
          <w:tcPr>
            <w:tcW w:w="628" w:type="pct"/>
            <w:tcBorders>
              <w:top w:val="double" w:color="000000" w:sz="6" w:space="0"/>
              <w:left w:val="double" w:color="000000" w:sz="6" w:space="0"/>
              <w:bottom w:val="double" w:color="000000" w:sz="6" w:space="0"/>
              <w:right w:val="double" w:color="000000" w:sz="6" w:space="0"/>
            </w:tcBorders>
            <w:shd w:val="clear" w:color="auto" w:fill="FFFFFF"/>
            <w:vAlign w:val="center"/>
          </w:tcPr>
          <w:p>
            <w:pPr>
              <w:pStyle w:val="8"/>
              <w:widowControl/>
              <w:autoSpaceDE w:val="0"/>
              <w:snapToGrid w:val="0"/>
              <w:spacing w:line="440" w:lineRule="exact"/>
              <w:jc w:val="center"/>
              <w:rPr>
                <w:rFonts w:ascii="宋体" w:hAnsi="宋体" w:eastAsia="宋体"/>
              </w:rPr>
            </w:pPr>
            <w:r>
              <w:rPr>
                <w:rFonts w:hint="eastAsia" w:ascii="宋体" w:hAnsi="宋体" w:eastAsia="宋体" w:cs="宋体"/>
                <w:kern w:val="0"/>
                <w:sz w:val="24"/>
                <w:szCs w:val="24"/>
              </w:rPr>
              <w:t>服务承诺评价分（10分）</w:t>
            </w:r>
          </w:p>
        </w:tc>
        <w:tc>
          <w:tcPr>
            <w:tcW w:w="3984" w:type="pct"/>
            <w:tcBorders>
              <w:top w:val="double" w:color="000000" w:sz="6" w:space="0"/>
              <w:left w:val="double" w:color="000000" w:sz="6" w:space="0"/>
              <w:bottom w:val="double" w:color="000000" w:sz="6" w:space="0"/>
              <w:right w:val="double" w:color="000000" w:sz="6" w:space="0"/>
            </w:tcBorders>
            <w:shd w:val="clear" w:color="auto" w:fill="FFFFFF"/>
            <w:vAlign w:val="center"/>
          </w:tcPr>
          <w:p>
            <w:pPr>
              <w:spacing w:line="440" w:lineRule="exact"/>
              <w:rPr>
                <w:rFonts w:ascii="宋体" w:hAnsi="宋体" w:eastAsia="宋体"/>
              </w:rPr>
            </w:pPr>
            <w:r>
              <w:rPr>
                <w:rFonts w:hint="eastAsia" w:ascii="宋体" w:hAnsi="宋体" w:eastAsia="宋体" w:cs="宋体"/>
                <w:sz w:val="24"/>
              </w:rPr>
              <w:t>针对相关法律法规、省内相关规定，根据本项目情况结合比选单位实际情况编制服务承诺：</w:t>
            </w:r>
          </w:p>
          <w:p>
            <w:pPr>
              <w:spacing w:line="440" w:lineRule="exact"/>
              <w:rPr>
                <w:rFonts w:ascii="宋体" w:hAnsi="宋体" w:eastAsia="宋体"/>
              </w:rPr>
            </w:pPr>
            <w:r>
              <w:rPr>
                <w:rFonts w:hint="eastAsia" w:ascii="宋体" w:hAnsi="宋体" w:eastAsia="宋体" w:cs="宋体"/>
                <w:sz w:val="24"/>
              </w:rPr>
              <w:t>（1）服务承诺科学、完整、全面，得7～10分；</w:t>
            </w:r>
          </w:p>
          <w:p>
            <w:pPr>
              <w:spacing w:line="440" w:lineRule="exact"/>
              <w:rPr>
                <w:rFonts w:ascii="宋体" w:hAnsi="宋体" w:eastAsia="宋体"/>
              </w:rPr>
            </w:pPr>
            <w:r>
              <w:rPr>
                <w:rFonts w:hint="eastAsia" w:ascii="宋体" w:hAnsi="宋体" w:eastAsia="宋体" w:cs="宋体"/>
                <w:sz w:val="24"/>
              </w:rPr>
              <w:t>（2）服务承诺较为科学、基本完整、较为全面，得4～6分；</w:t>
            </w:r>
          </w:p>
          <w:p>
            <w:pPr>
              <w:spacing w:line="440" w:lineRule="exact"/>
              <w:rPr>
                <w:rFonts w:ascii="宋体" w:hAnsi="宋体" w:eastAsia="宋体"/>
              </w:rPr>
            </w:pPr>
            <w:r>
              <w:rPr>
                <w:rFonts w:hint="eastAsia" w:ascii="宋体" w:hAnsi="宋体" w:eastAsia="宋体" w:cs="宋体"/>
                <w:sz w:val="24"/>
              </w:rPr>
              <w:t>（3）服务承诺不科学、有缺失、不完善，得1～3分；</w:t>
            </w:r>
          </w:p>
          <w:p>
            <w:pPr>
              <w:spacing w:line="440" w:lineRule="exact"/>
              <w:rPr>
                <w:rFonts w:ascii="宋体" w:hAnsi="宋体" w:eastAsia="宋体"/>
              </w:rPr>
            </w:pPr>
            <w:r>
              <w:rPr>
                <w:rFonts w:hint="eastAsia" w:ascii="宋体" w:hAnsi="宋体" w:eastAsia="宋体" w:cs="宋体"/>
                <w:sz w:val="24"/>
              </w:rPr>
              <w:t>（4）未提供服务承诺，得0分。</w:t>
            </w:r>
          </w:p>
        </w:tc>
      </w:tr>
      <w:tr>
        <w:tblPrEx>
          <w:tblCellMar>
            <w:top w:w="0" w:type="dxa"/>
            <w:left w:w="108" w:type="dxa"/>
            <w:bottom w:w="0" w:type="dxa"/>
            <w:right w:w="108" w:type="dxa"/>
          </w:tblCellMar>
        </w:tblPrEx>
        <w:trPr>
          <w:cantSplit/>
          <w:trHeight w:val="1887" w:hRule="atLeast"/>
          <w:jc w:val="center"/>
        </w:trPr>
        <w:tc>
          <w:tcPr>
            <w:tcW w:w="386" w:type="pct"/>
            <w:tcBorders>
              <w:top w:val="double" w:color="000000" w:sz="6" w:space="0"/>
              <w:left w:val="double" w:color="000000" w:sz="6" w:space="0"/>
              <w:bottom w:val="double" w:color="000000" w:sz="6" w:space="0"/>
              <w:right w:val="double" w:color="000000" w:sz="6" w:space="0"/>
            </w:tcBorders>
            <w:shd w:val="clear" w:color="auto" w:fill="auto"/>
            <w:vAlign w:val="center"/>
          </w:tcPr>
          <w:p>
            <w:pPr>
              <w:autoSpaceDE w:val="0"/>
              <w:spacing w:line="440" w:lineRule="exact"/>
              <w:ind w:firstLine="108"/>
              <w:jc w:val="center"/>
              <w:rPr>
                <w:rFonts w:hint="eastAsia" w:ascii="宋体" w:hAnsi="宋体" w:eastAsia="宋体"/>
                <w:lang w:eastAsia="zh-CN"/>
              </w:rPr>
            </w:pPr>
            <w:r>
              <w:rPr>
                <w:rFonts w:hint="eastAsia" w:ascii="宋体" w:hAnsi="宋体" w:eastAsia="宋体" w:cs="宋体"/>
                <w:bCs/>
                <w:sz w:val="24"/>
                <w:lang w:val="en-US" w:eastAsia="zh-CN"/>
              </w:rPr>
              <w:t>7</w:t>
            </w:r>
          </w:p>
        </w:tc>
        <w:tc>
          <w:tcPr>
            <w:tcW w:w="628" w:type="pct"/>
            <w:tcBorders>
              <w:top w:val="double" w:color="000000" w:sz="6" w:space="0"/>
              <w:left w:val="double" w:color="000000" w:sz="6" w:space="0"/>
              <w:bottom w:val="double" w:color="000000" w:sz="6" w:space="0"/>
              <w:right w:val="double" w:color="000000" w:sz="6" w:space="0"/>
            </w:tcBorders>
            <w:shd w:val="clear" w:color="auto" w:fill="FFFFFF"/>
            <w:vAlign w:val="center"/>
          </w:tcPr>
          <w:p>
            <w:pPr>
              <w:pStyle w:val="8"/>
              <w:widowControl/>
              <w:autoSpaceDE w:val="0"/>
              <w:snapToGrid w:val="0"/>
              <w:spacing w:line="440" w:lineRule="exact"/>
              <w:jc w:val="center"/>
              <w:rPr>
                <w:rFonts w:ascii="宋体" w:hAnsi="宋体" w:eastAsia="宋体"/>
              </w:rPr>
            </w:pPr>
            <w:r>
              <w:rPr>
                <w:rFonts w:hint="eastAsia" w:ascii="宋体" w:hAnsi="宋体" w:eastAsia="宋体" w:cs="宋体"/>
                <w:kern w:val="0"/>
                <w:sz w:val="24"/>
                <w:szCs w:val="24"/>
              </w:rPr>
              <w:t>政府采购及招标代理方案（20分）</w:t>
            </w:r>
          </w:p>
        </w:tc>
        <w:tc>
          <w:tcPr>
            <w:tcW w:w="3984" w:type="pct"/>
            <w:tcBorders>
              <w:top w:val="double" w:color="000000" w:sz="6" w:space="0"/>
              <w:left w:val="double" w:color="000000" w:sz="6" w:space="0"/>
              <w:bottom w:val="double" w:color="000000" w:sz="6" w:space="0"/>
              <w:right w:val="double" w:color="000000" w:sz="6" w:space="0"/>
            </w:tcBorders>
            <w:shd w:val="clear" w:color="auto" w:fill="FFFFFF"/>
            <w:vAlign w:val="center"/>
          </w:tcPr>
          <w:p>
            <w:pPr>
              <w:pStyle w:val="8"/>
              <w:widowControl/>
              <w:autoSpaceDE w:val="0"/>
              <w:snapToGrid w:val="0"/>
              <w:spacing w:line="440" w:lineRule="exact"/>
              <w:rPr>
                <w:rFonts w:ascii="宋体" w:hAnsi="宋体" w:eastAsia="宋体"/>
              </w:rPr>
            </w:pPr>
            <w:r>
              <w:rPr>
                <w:rFonts w:hint="eastAsia" w:ascii="宋体" w:hAnsi="宋体" w:eastAsia="宋体" w:cs="宋体"/>
                <w:b/>
                <w:bCs/>
                <w:kern w:val="0"/>
                <w:sz w:val="24"/>
                <w:szCs w:val="24"/>
              </w:rPr>
              <w:t>政府采购及招标代理方案包括但不限于：项目流程及时间计划，如何有效避免异议（质疑）、投诉方案等。满分20分</w:t>
            </w:r>
          </w:p>
          <w:p>
            <w:pPr>
              <w:spacing w:line="440" w:lineRule="exact"/>
              <w:rPr>
                <w:rFonts w:ascii="宋体" w:hAnsi="宋体" w:eastAsia="宋体"/>
              </w:rPr>
            </w:pPr>
            <w:r>
              <w:rPr>
                <w:rFonts w:hint="eastAsia" w:ascii="宋体" w:hAnsi="宋体" w:eastAsia="宋体" w:cs="宋体"/>
                <w:sz w:val="24"/>
              </w:rPr>
              <w:t>（1）全面、详细、内容具体，可行性高，得16～20分；</w:t>
            </w:r>
          </w:p>
          <w:p>
            <w:pPr>
              <w:spacing w:line="440" w:lineRule="exact"/>
              <w:rPr>
                <w:rFonts w:ascii="宋体" w:hAnsi="宋体" w:eastAsia="宋体"/>
              </w:rPr>
            </w:pPr>
            <w:r>
              <w:rPr>
                <w:rFonts w:hint="eastAsia" w:ascii="宋体" w:hAnsi="宋体" w:eastAsia="宋体" w:cs="宋体"/>
                <w:sz w:val="24"/>
              </w:rPr>
              <w:t>（2）较好、项目流程细则可行，但内容简单不够全面，得11～15分；</w:t>
            </w:r>
          </w:p>
          <w:p>
            <w:pPr>
              <w:spacing w:line="440" w:lineRule="exact"/>
              <w:rPr>
                <w:rFonts w:ascii="宋体" w:hAnsi="宋体" w:eastAsia="宋体"/>
              </w:rPr>
            </w:pPr>
            <w:r>
              <w:rPr>
                <w:rFonts w:hint="eastAsia" w:ascii="宋体" w:hAnsi="宋体" w:eastAsia="宋体" w:cs="宋体"/>
                <w:sz w:val="24"/>
              </w:rPr>
              <w:t>（3）不够详细、合理性欠缺，得1～10分；</w:t>
            </w:r>
          </w:p>
          <w:p>
            <w:pPr>
              <w:spacing w:line="440" w:lineRule="exact"/>
              <w:rPr>
                <w:rFonts w:ascii="宋体" w:hAnsi="宋体" w:eastAsia="宋体"/>
              </w:rPr>
            </w:pPr>
            <w:r>
              <w:rPr>
                <w:rFonts w:hint="eastAsia" w:ascii="宋体" w:hAnsi="宋体" w:eastAsia="宋体" w:cs="宋体"/>
                <w:sz w:val="24"/>
              </w:rPr>
              <w:t>（4）未提供招标代理方案或</w:t>
            </w:r>
            <w:r>
              <w:rPr>
                <w:rFonts w:hint="eastAsia" w:ascii="宋体" w:hAnsi="宋体" w:eastAsia="宋体" w:cs="宋体"/>
                <w:sz w:val="24"/>
                <w:highlight w:val="none"/>
              </w:rPr>
              <w:t>未阐述</w:t>
            </w:r>
            <w:r>
              <w:rPr>
                <w:rFonts w:hint="eastAsia" w:ascii="宋体" w:hAnsi="宋体" w:eastAsia="宋体" w:cs="宋体"/>
                <w:sz w:val="24"/>
              </w:rPr>
              <w:t>得0分。</w:t>
            </w:r>
          </w:p>
        </w:tc>
      </w:tr>
      <w:tr>
        <w:tblPrEx>
          <w:tblCellMar>
            <w:top w:w="0" w:type="dxa"/>
            <w:left w:w="108" w:type="dxa"/>
            <w:bottom w:w="0" w:type="dxa"/>
            <w:right w:w="108" w:type="dxa"/>
          </w:tblCellMar>
        </w:tblPrEx>
        <w:trPr>
          <w:cantSplit/>
          <w:trHeight w:val="1522" w:hRule="atLeast"/>
          <w:jc w:val="center"/>
        </w:trPr>
        <w:tc>
          <w:tcPr>
            <w:tcW w:w="386" w:type="pct"/>
            <w:tcBorders>
              <w:top w:val="double" w:color="000000" w:sz="6" w:space="0"/>
              <w:left w:val="double" w:color="000000" w:sz="6" w:space="0"/>
              <w:bottom w:val="double" w:color="000000" w:sz="6" w:space="0"/>
              <w:right w:val="double" w:color="000000" w:sz="6" w:space="0"/>
            </w:tcBorders>
            <w:shd w:val="clear" w:color="auto" w:fill="auto"/>
            <w:vAlign w:val="center"/>
          </w:tcPr>
          <w:p>
            <w:pPr>
              <w:autoSpaceDE w:val="0"/>
              <w:spacing w:line="440" w:lineRule="exact"/>
              <w:ind w:firstLine="108"/>
              <w:jc w:val="center"/>
              <w:rPr>
                <w:rFonts w:ascii="宋体" w:hAnsi="宋体" w:eastAsia="宋体"/>
              </w:rPr>
            </w:pPr>
            <w:r>
              <w:rPr>
                <w:rFonts w:hint="eastAsia" w:ascii="宋体" w:hAnsi="宋体" w:eastAsia="宋体" w:cs="宋体"/>
                <w:bCs/>
                <w:sz w:val="24"/>
                <w:lang w:val="en-US" w:eastAsia="zh-CN"/>
              </w:rPr>
              <w:t>8</w:t>
            </w:r>
          </w:p>
        </w:tc>
        <w:tc>
          <w:tcPr>
            <w:tcW w:w="628" w:type="pct"/>
            <w:tcBorders>
              <w:top w:val="double" w:color="000000" w:sz="6" w:space="0"/>
              <w:left w:val="double" w:color="000000" w:sz="6" w:space="0"/>
              <w:bottom w:val="double" w:color="000000" w:sz="6" w:space="0"/>
              <w:right w:val="double" w:color="000000" w:sz="6" w:space="0"/>
            </w:tcBorders>
            <w:shd w:val="clear" w:color="auto" w:fill="FFFFFF"/>
            <w:vAlign w:val="center"/>
          </w:tcPr>
          <w:p>
            <w:pPr>
              <w:pStyle w:val="8"/>
              <w:widowControl/>
              <w:autoSpaceDE w:val="0"/>
              <w:snapToGrid w:val="0"/>
              <w:spacing w:line="440" w:lineRule="exact"/>
              <w:jc w:val="center"/>
              <w:rPr>
                <w:rFonts w:ascii="宋体" w:hAnsi="宋体" w:eastAsia="宋体"/>
              </w:rPr>
            </w:pPr>
            <w:r>
              <w:rPr>
                <w:rFonts w:hint="eastAsia" w:ascii="宋体" w:hAnsi="宋体" w:eastAsia="宋体" w:cs="宋体"/>
                <w:kern w:val="0"/>
                <w:sz w:val="24"/>
                <w:szCs w:val="24"/>
              </w:rPr>
              <w:t>比选文件制作</w:t>
            </w:r>
          </w:p>
          <w:p>
            <w:pPr>
              <w:pStyle w:val="8"/>
              <w:widowControl/>
              <w:autoSpaceDE w:val="0"/>
              <w:snapToGrid w:val="0"/>
              <w:spacing w:line="440" w:lineRule="exact"/>
              <w:jc w:val="center"/>
              <w:rPr>
                <w:rFonts w:ascii="宋体" w:hAnsi="宋体" w:eastAsia="宋体"/>
              </w:rPr>
            </w:pPr>
            <w:r>
              <w:rPr>
                <w:rFonts w:hint="eastAsia" w:ascii="宋体" w:hAnsi="宋体" w:eastAsia="宋体" w:cs="宋体"/>
                <w:kern w:val="0"/>
                <w:sz w:val="24"/>
                <w:szCs w:val="24"/>
              </w:rPr>
              <w:t>（3分）</w:t>
            </w:r>
          </w:p>
        </w:tc>
        <w:tc>
          <w:tcPr>
            <w:tcW w:w="3984" w:type="pct"/>
            <w:tcBorders>
              <w:top w:val="double" w:color="000000" w:sz="6" w:space="0"/>
              <w:left w:val="double" w:color="000000" w:sz="6" w:space="0"/>
              <w:bottom w:val="double" w:color="000000" w:sz="6" w:space="0"/>
              <w:right w:val="double" w:color="000000" w:sz="6" w:space="0"/>
            </w:tcBorders>
            <w:shd w:val="clear" w:color="auto" w:fill="FFFFFF"/>
            <w:vAlign w:val="center"/>
          </w:tcPr>
          <w:p>
            <w:pPr>
              <w:widowControl/>
              <w:spacing w:line="440" w:lineRule="exact"/>
              <w:rPr>
                <w:rFonts w:ascii="宋体" w:hAnsi="宋体" w:eastAsia="宋体"/>
              </w:rPr>
            </w:pPr>
            <w:r>
              <w:rPr>
                <w:rFonts w:hint="eastAsia" w:ascii="宋体" w:hAnsi="宋体" w:eastAsia="宋体" w:cs="宋体"/>
                <w:color w:val="000000"/>
                <w:sz w:val="24"/>
              </w:rPr>
              <w:t>（1）比选文件的编制符合招标文件的规定，印刷精美，装订整齐、印章清晰的得</w:t>
            </w:r>
            <w:r>
              <w:rPr>
                <w:rFonts w:hint="eastAsia" w:ascii="宋体" w:hAnsi="宋体" w:cs="宋体"/>
                <w:color w:val="000000"/>
                <w:sz w:val="24"/>
                <w:lang w:val="en-US" w:eastAsia="zh-CN"/>
              </w:rPr>
              <w:t>3</w:t>
            </w:r>
            <w:r>
              <w:rPr>
                <w:rFonts w:hint="eastAsia" w:ascii="宋体" w:hAnsi="宋体" w:eastAsia="宋体" w:cs="宋体"/>
                <w:color w:val="000000"/>
                <w:sz w:val="24"/>
              </w:rPr>
              <w:t>分。</w:t>
            </w:r>
          </w:p>
          <w:p>
            <w:pPr>
              <w:pStyle w:val="8"/>
              <w:widowControl/>
              <w:autoSpaceDE w:val="0"/>
              <w:snapToGrid w:val="0"/>
              <w:spacing w:line="440" w:lineRule="exact"/>
              <w:rPr>
                <w:rFonts w:ascii="宋体" w:hAnsi="宋体" w:eastAsia="宋体"/>
              </w:rPr>
            </w:pPr>
            <w:r>
              <w:rPr>
                <w:rFonts w:hint="eastAsia" w:ascii="宋体" w:hAnsi="宋体" w:eastAsia="宋体" w:cs="宋体"/>
                <w:color w:val="000000"/>
                <w:sz w:val="24"/>
                <w:szCs w:val="24"/>
              </w:rPr>
              <w:t>（2）比选文件编制有目录和页码，无排序混乱和缺篇少页的得1分。</w:t>
            </w:r>
          </w:p>
          <w:p>
            <w:pPr>
              <w:pStyle w:val="8"/>
              <w:widowControl/>
              <w:autoSpaceDE w:val="0"/>
              <w:snapToGrid w:val="0"/>
              <w:spacing w:line="440" w:lineRule="exact"/>
              <w:rPr>
                <w:rFonts w:ascii="宋体" w:hAnsi="宋体" w:eastAsia="宋体"/>
              </w:rPr>
            </w:pPr>
            <w:r>
              <w:rPr>
                <w:rFonts w:hint="eastAsia" w:ascii="宋体" w:hAnsi="宋体" w:eastAsia="宋体" w:cs="宋体"/>
                <w:color w:val="000000"/>
                <w:sz w:val="24"/>
                <w:szCs w:val="24"/>
              </w:rPr>
              <w:t>（3）比选文件编制有上述问题，制作差得0分</w:t>
            </w:r>
          </w:p>
        </w:tc>
      </w:tr>
    </w:tbl>
    <w:p>
      <w:pPr>
        <w:pStyle w:val="4"/>
        <w:spacing w:before="18" w:line="360" w:lineRule="auto"/>
        <w:rPr>
          <w:rFonts w:ascii="宋体" w:hAnsi="宋体" w:eastAsia="宋体"/>
        </w:rPr>
      </w:pPr>
      <w:r>
        <w:rPr>
          <w:rFonts w:ascii="宋体" w:hAnsi="宋体" w:eastAsia="宋体"/>
        </w:rPr>
        <w:t>评审原则：</w:t>
      </w:r>
    </w:p>
    <w:p>
      <w:pPr>
        <w:pStyle w:val="4"/>
        <w:spacing w:before="158" w:line="360" w:lineRule="auto"/>
        <w:ind w:firstLine="240"/>
        <w:rPr>
          <w:rFonts w:ascii="宋体" w:hAnsi="宋体" w:eastAsia="宋体"/>
        </w:rPr>
      </w:pPr>
      <w:r>
        <w:rPr>
          <w:rFonts w:ascii="宋体" w:hAnsi="宋体" w:eastAsia="宋体"/>
        </w:rPr>
        <w:t>（一）按评审总分由高到低顺序排名；总分相同，按招标代理方案得分由高到低排序。</w:t>
      </w:r>
    </w:p>
    <w:p>
      <w:pPr>
        <w:pStyle w:val="4"/>
        <w:spacing w:line="360" w:lineRule="auto"/>
        <w:ind w:firstLine="240"/>
        <w:rPr>
          <w:rFonts w:ascii="宋体" w:hAnsi="宋体" w:eastAsia="宋体"/>
        </w:rPr>
      </w:pPr>
      <w:r>
        <w:rPr>
          <w:rFonts w:ascii="宋体" w:hAnsi="宋体" w:eastAsia="宋体"/>
        </w:rPr>
        <w:t>（二）按评审总分确定得分最高</w:t>
      </w:r>
      <w:r>
        <w:rPr>
          <w:rFonts w:hint="eastAsia" w:ascii="宋体" w:hAnsi="宋体" w:eastAsia="宋体"/>
          <w:lang w:val="en-US" w:eastAsia="zh-CN"/>
        </w:rPr>
        <w:t>为第一</w:t>
      </w:r>
      <w:r>
        <w:rPr>
          <w:rFonts w:ascii="宋体" w:hAnsi="宋体" w:eastAsia="宋体"/>
        </w:rPr>
        <w:t>名作为</w:t>
      </w:r>
      <w:r>
        <w:rPr>
          <w:rFonts w:hint="eastAsia"/>
          <w:lang w:val="en-US" w:eastAsia="zh-CN"/>
        </w:rPr>
        <w:t>贵阳市煤炭储配基地股权投资项目</w:t>
      </w:r>
      <w:r>
        <w:rPr>
          <w:rFonts w:ascii="宋体" w:hAnsi="宋体" w:eastAsia="宋体"/>
        </w:rPr>
        <w:t>招标代理服务机构。</w:t>
      </w:r>
    </w:p>
    <w:p>
      <w:pPr>
        <w:pStyle w:val="4"/>
        <w:spacing w:before="160" w:line="360" w:lineRule="auto"/>
        <w:ind w:firstLine="240"/>
        <w:jc w:val="left"/>
        <w:rPr>
          <w:rFonts w:ascii="宋体" w:hAnsi="宋体" w:eastAsia="宋体"/>
        </w:rPr>
      </w:pPr>
      <w:r>
        <w:rPr>
          <w:rFonts w:ascii="宋体" w:hAnsi="宋体" w:eastAsia="宋体"/>
        </w:rPr>
        <w:t>（三）采购人具有对入选代理机构进行实地考察的权利，有权对比选申请人提供的资料真实性进行核查。如发现资料弄虚作假将承担相应的法律责任，取消中选资格。</w:t>
      </w:r>
    </w:p>
    <w:p>
      <w:pPr>
        <w:pStyle w:val="4"/>
        <w:spacing w:before="66"/>
        <w:ind w:right="22"/>
        <w:jc w:val="center"/>
        <w:rPr>
          <w:rFonts w:ascii="宋体" w:hAnsi="宋体" w:eastAsia="宋体"/>
        </w:rPr>
      </w:pPr>
      <w:r>
        <w:rPr>
          <w:rFonts w:ascii="宋体" w:hAnsi="宋体" w:eastAsia="宋体"/>
          <w:sz w:val="28"/>
          <w:szCs w:val="28"/>
        </w:rPr>
        <w:t>第二节 废标条款</w:t>
      </w:r>
    </w:p>
    <w:p>
      <w:pPr>
        <w:pStyle w:val="3"/>
        <w:spacing w:before="0"/>
        <w:ind w:left="0"/>
        <w:jc w:val="left"/>
        <w:rPr>
          <w:rFonts w:ascii="宋体" w:hAnsi="宋体" w:eastAsia="宋体"/>
        </w:rPr>
      </w:pPr>
      <w:r>
        <w:rPr>
          <w:rFonts w:ascii="宋体" w:hAnsi="宋体" w:eastAsia="宋体"/>
          <w:b w:val="0"/>
        </w:rPr>
        <w:t>1、</w:t>
      </w:r>
      <w:r>
        <w:rPr>
          <w:rFonts w:ascii="宋体" w:hAnsi="宋体" w:eastAsia="宋体"/>
        </w:rPr>
        <w:t>比选申请人有下列情形之一的，其投标按无效投标处理</w:t>
      </w:r>
      <w:r>
        <w:rPr>
          <w:rFonts w:ascii="宋体" w:hAnsi="宋体" w:eastAsia="宋体"/>
          <w:b w:val="0"/>
        </w:rPr>
        <w:t>：</w:t>
      </w:r>
    </w:p>
    <w:p>
      <w:pPr>
        <w:pStyle w:val="7"/>
        <w:tabs>
          <w:tab w:val="left" w:pos="2020"/>
        </w:tabs>
        <w:spacing w:before="161"/>
        <w:ind w:left="0" w:firstLine="0"/>
        <w:jc w:val="left"/>
        <w:rPr>
          <w:rFonts w:ascii="宋体" w:hAnsi="宋体" w:eastAsia="宋体"/>
        </w:rPr>
      </w:pPr>
      <w:r>
        <w:rPr>
          <w:rFonts w:hint="eastAsia" w:ascii="宋体" w:hAnsi="宋体" w:eastAsia="宋体"/>
          <w:sz w:val="24"/>
        </w:rPr>
        <w:t>（</w:t>
      </w:r>
      <w:r>
        <w:rPr>
          <w:rFonts w:hint="eastAsia" w:ascii="宋体" w:hAnsi="宋体" w:eastAsia="宋体"/>
          <w:sz w:val="24"/>
          <w:lang w:val="en-US"/>
        </w:rPr>
        <w:t>1）</w:t>
      </w:r>
      <w:r>
        <w:rPr>
          <w:rFonts w:ascii="宋体" w:hAnsi="宋体" w:eastAsia="宋体"/>
          <w:sz w:val="24"/>
        </w:rPr>
        <w:t>比选申请人资格验证不合格的。</w:t>
      </w:r>
    </w:p>
    <w:p>
      <w:pPr>
        <w:pStyle w:val="7"/>
        <w:tabs>
          <w:tab w:val="left" w:pos="2020"/>
        </w:tabs>
        <w:spacing w:before="158"/>
        <w:ind w:left="0" w:firstLine="0"/>
        <w:jc w:val="left"/>
        <w:rPr>
          <w:rFonts w:ascii="宋体" w:hAnsi="宋体" w:eastAsia="宋体"/>
        </w:rPr>
      </w:pPr>
      <w:r>
        <w:rPr>
          <w:rFonts w:hint="eastAsia" w:ascii="宋体" w:hAnsi="宋体" w:eastAsia="宋体"/>
          <w:sz w:val="24"/>
        </w:rPr>
        <w:t>（</w:t>
      </w:r>
      <w:r>
        <w:rPr>
          <w:rFonts w:hint="eastAsia" w:ascii="宋体" w:hAnsi="宋体" w:eastAsia="宋体"/>
          <w:sz w:val="24"/>
          <w:lang w:val="en-US"/>
        </w:rPr>
        <w:t>2）</w:t>
      </w:r>
      <w:r>
        <w:rPr>
          <w:rFonts w:ascii="宋体" w:hAnsi="宋体" w:eastAsia="宋体"/>
          <w:sz w:val="24"/>
        </w:rPr>
        <w:t>响应文件未按比选文件规定密封的。</w:t>
      </w:r>
    </w:p>
    <w:p>
      <w:pPr>
        <w:pStyle w:val="7"/>
        <w:tabs>
          <w:tab w:val="left" w:pos="2020"/>
        </w:tabs>
        <w:spacing w:before="161"/>
        <w:ind w:left="0" w:firstLine="0"/>
        <w:jc w:val="left"/>
        <w:rPr>
          <w:rFonts w:ascii="宋体" w:hAnsi="宋体" w:eastAsia="宋体"/>
        </w:rPr>
      </w:pPr>
      <w:r>
        <w:rPr>
          <w:rFonts w:hint="eastAsia" w:ascii="宋体" w:hAnsi="宋体" w:eastAsia="宋体"/>
          <w:sz w:val="24"/>
        </w:rPr>
        <w:t>（</w:t>
      </w:r>
      <w:r>
        <w:rPr>
          <w:rFonts w:hint="eastAsia" w:ascii="宋体" w:hAnsi="宋体" w:eastAsia="宋体"/>
          <w:sz w:val="24"/>
          <w:lang w:val="en-US"/>
        </w:rPr>
        <w:t>3）</w:t>
      </w:r>
      <w:r>
        <w:rPr>
          <w:rFonts w:ascii="宋体" w:hAnsi="宋体" w:eastAsia="宋体"/>
          <w:sz w:val="24"/>
        </w:rPr>
        <w:t>响应文件中字迹模糊不清导致无法辨认的。</w:t>
      </w:r>
    </w:p>
    <w:p>
      <w:pPr>
        <w:pStyle w:val="7"/>
        <w:tabs>
          <w:tab w:val="left" w:pos="2020"/>
        </w:tabs>
        <w:spacing w:before="158"/>
        <w:ind w:left="0" w:firstLine="0"/>
        <w:jc w:val="left"/>
        <w:rPr>
          <w:rFonts w:ascii="宋体" w:hAnsi="宋体" w:eastAsia="宋体"/>
        </w:rPr>
      </w:pPr>
      <w:r>
        <w:rPr>
          <w:rFonts w:hint="eastAsia" w:ascii="宋体" w:hAnsi="宋体" w:eastAsia="宋体"/>
          <w:sz w:val="24"/>
        </w:rPr>
        <w:t>（</w:t>
      </w:r>
      <w:r>
        <w:rPr>
          <w:rFonts w:hint="eastAsia" w:ascii="宋体" w:hAnsi="宋体" w:eastAsia="宋体"/>
          <w:sz w:val="24"/>
          <w:lang w:val="en-US"/>
        </w:rPr>
        <w:t>4）</w:t>
      </w:r>
      <w:r>
        <w:rPr>
          <w:rFonts w:ascii="宋体" w:hAnsi="宋体" w:eastAsia="宋体"/>
          <w:sz w:val="24"/>
        </w:rPr>
        <w:t>响应文件未按规定加盖单位公章的。</w:t>
      </w:r>
    </w:p>
    <w:p>
      <w:pPr>
        <w:pStyle w:val="7"/>
        <w:tabs>
          <w:tab w:val="left" w:pos="2020"/>
        </w:tabs>
        <w:spacing w:before="160"/>
        <w:ind w:left="0" w:firstLine="0"/>
        <w:jc w:val="left"/>
        <w:rPr>
          <w:rFonts w:ascii="宋体" w:hAnsi="宋体" w:eastAsia="宋体"/>
        </w:rPr>
      </w:pPr>
      <w:r>
        <w:rPr>
          <w:rFonts w:hint="eastAsia" w:ascii="宋体" w:hAnsi="宋体" w:eastAsia="宋体"/>
          <w:sz w:val="24"/>
        </w:rPr>
        <w:t>（</w:t>
      </w:r>
      <w:r>
        <w:rPr>
          <w:rFonts w:hint="eastAsia" w:ascii="宋体" w:hAnsi="宋体" w:eastAsia="宋体"/>
          <w:sz w:val="24"/>
          <w:lang w:val="en-US"/>
        </w:rPr>
        <w:t>5）</w:t>
      </w:r>
      <w:r>
        <w:rPr>
          <w:rFonts w:ascii="宋体" w:hAnsi="宋体" w:eastAsia="宋体"/>
          <w:sz w:val="24"/>
        </w:rPr>
        <w:t>比选申请人提供的资料弄虚作假并认定为不真实的。</w:t>
      </w:r>
    </w:p>
    <w:p>
      <w:pPr>
        <w:pStyle w:val="7"/>
        <w:tabs>
          <w:tab w:val="left" w:pos="2020"/>
        </w:tabs>
        <w:spacing w:before="161"/>
        <w:ind w:left="0" w:firstLine="0"/>
        <w:jc w:val="left"/>
        <w:rPr>
          <w:rFonts w:ascii="宋体" w:hAnsi="宋体" w:eastAsia="宋体"/>
        </w:rPr>
      </w:pPr>
      <w:r>
        <w:rPr>
          <w:rFonts w:hint="eastAsia" w:ascii="宋体" w:hAnsi="宋体" w:eastAsia="宋体"/>
          <w:sz w:val="24"/>
        </w:rPr>
        <w:t>（</w:t>
      </w:r>
      <w:r>
        <w:rPr>
          <w:rFonts w:hint="eastAsia" w:ascii="宋体" w:hAnsi="宋体" w:eastAsia="宋体"/>
          <w:sz w:val="24"/>
          <w:lang w:val="en-US"/>
        </w:rPr>
        <w:t>6）</w:t>
      </w:r>
      <w:r>
        <w:rPr>
          <w:rFonts w:ascii="宋体" w:hAnsi="宋体" w:eastAsia="宋体"/>
          <w:sz w:val="24"/>
        </w:rPr>
        <w:t>未提供原件供比选小组核实的或响应文件中业绩无证明资料的。</w:t>
      </w:r>
    </w:p>
    <w:p>
      <w:pPr>
        <w:pStyle w:val="7"/>
        <w:tabs>
          <w:tab w:val="left" w:pos="2020"/>
        </w:tabs>
        <w:spacing w:before="158"/>
        <w:ind w:left="0" w:firstLine="0"/>
        <w:jc w:val="left"/>
        <w:rPr>
          <w:rFonts w:ascii="宋体" w:hAnsi="宋体" w:eastAsia="宋体"/>
        </w:rPr>
      </w:pPr>
      <w:r>
        <w:rPr>
          <w:rFonts w:hint="eastAsia" w:ascii="宋体" w:hAnsi="宋体" w:eastAsia="宋体"/>
          <w:sz w:val="24"/>
        </w:rPr>
        <w:t>（</w:t>
      </w:r>
      <w:r>
        <w:rPr>
          <w:rFonts w:hint="eastAsia" w:ascii="宋体" w:hAnsi="宋体" w:eastAsia="宋体"/>
          <w:sz w:val="24"/>
          <w:lang w:val="en-US"/>
        </w:rPr>
        <w:t>7）</w:t>
      </w:r>
      <w:r>
        <w:rPr>
          <w:rFonts w:ascii="宋体" w:hAnsi="宋体" w:eastAsia="宋体"/>
          <w:sz w:val="24"/>
        </w:rPr>
        <w:t>拟投入本项目的人员未明确项目负责人的。</w:t>
      </w:r>
    </w:p>
    <w:p>
      <w:pPr>
        <w:pStyle w:val="7"/>
        <w:tabs>
          <w:tab w:val="left" w:pos="2020"/>
        </w:tabs>
        <w:spacing w:before="158"/>
        <w:ind w:left="0" w:firstLine="0"/>
        <w:jc w:val="left"/>
        <w:rPr>
          <w:rFonts w:ascii="宋体" w:hAnsi="宋体" w:eastAsia="宋体"/>
        </w:rPr>
      </w:pPr>
      <w:r>
        <w:rPr>
          <w:rFonts w:hint="eastAsia" w:ascii="宋体" w:hAnsi="宋体" w:eastAsia="宋体"/>
          <w:spacing w:val="-2"/>
          <w:sz w:val="24"/>
        </w:rPr>
        <w:t>（</w:t>
      </w:r>
      <w:r>
        <w:rPr>
          <w:rFonts w:hint="eastAsia" w:ascii="宋体" w:hAnsi="宋体" w:eastAsia="宋体"/>
          <w:spacing w:val="-2"/>
          <w:sz w:val="24"/>
          <w:lang w:val="en-US"/>
        </w:rPr>
        <w:t>8）</w:t>
      </w:r>
      <w:r>
        <w:rPr>
          <w:rFonts w:ascii="宋体" w:hAnsi="宋体" w:eastAsia="宋体"/>
          <w:spacing w:val="-2"/>
          <w:sz w:val="24"/>
        </w:rPr>
        <w:t>法律法规规定的无效投标</w:t>
      </w:r>
      <w:r>
        <w:rPr>
          <w:rFonts w:hint="eastAsia" w:ascii="宋体" w:hAnsi="宋体" w:eastAsia="宋体"/>
          <w:spacing w:val="-2"/>
          <w:sz w:val="24"/>
          <w:lang w:val="en-US"/>
        </w:rPr>
        <w:t>条件的</w:t>
      </w:r>
      <w:r>
        <w:rPr>
          <w:rFonts w:ascii="宋体" w:hAnsi="宋体" w:eastAsia="宋体"/>
          <w:spacing w:val="-2"/>
          <w:sz w:val="24"/>
        </w:rPr>
        <w:t>。</w:t>
      </w:r>
    </w:p>
    <w:p>
      <w:pPr>
        <w:pStyle w:val="7"/>
        <w:tabs>
          <w:tab w:val="left" w:pos="2020"/>
        </w:tabs>
        <w:spacing w:before="158"/>
        <w:ind w:left="0" w:firstLine="0"/>
        <w:jc w:val="left"/>
        <w:rPr>
          <w:rFonts w:ascii="宋体" w:hAnsi="宋体" w:eastAsia="宋体"/>
        </w:rPr>
      </w:pPr>
      <w:r>
        <w:rPr>
          <w:rFonts w:ascii="宋体" w:hAnsi="宋体" w:eastAsia="宋体"/>
          <w:sz w:val="24"/>
        </w:rPr>
        <w:t>2、</w:t>
      </w:r>
      <w:r>
        <w:rPr>
          <w:rFonts w:ascii="宋体" w:hAnsi="宋体" w:eastAsia="宋体"/>
          <w:b/>
          <w:sz w:val="24"/>
        </w:rPr>
        <w:t>废标条款：</w:t>
      </w:r>
    </w:p>
    <w:p>
      <w:pPr>
        <w:pStyle w:val="7"/>
        <w:tabs>
          <w:tab w:val="left" w:pos="2020"/>
        </w:tabs>
        <w:spacing w:line="306" w:lineRule="exact"/>
        <w:ind w:left="0" w:firstLine="0"/>
        <w:jc w:val="left"/>
        <w:rPr>
          <w:rFonts w:ascii="宋体" w:hAnsi="宋体" w:eastAsia="宋体"/>
        </w:rPr>
      </w:pPr>
      <w:r>
        <w:rPr>
          <w:rFonts w:hint="eastAsia" w:ascii="宋体" w:hAnsi="宋体" w:eastAsia="宋体"/>
          <w:sz w:val="24"/>
        </w:rPr>
        <w:t>（</w:t>
      </w:r>
      <w:r>
        <w:rPr>
          <w:rFonts w:hint="eastAsia" w:ascii="宋体" w:hAnsi="宋体" w:eastAsia="宋体"/>
          <w:sz w:val="24"/>
          <w:lang w:val="en-US"/>
        </w:rPr>
        <w:t>1）</w:t>
      </w:r>
      <w:r>
        <w:rPr>
          <w:rFonts w:ascii="宋体" w:hAnsi="宋体" w:eastAsia="宋体"/>
          <w:sz w:val="24"/>
        </w:rPr>
        <w:t>比选申请人出现影响比选公正的违法、违规行为的。</w:t>
      </w:r>
    </w:p>
    <w:p>
      <w:pPr>
        <w:pStyle w:val="7"/>
        <w:tabs>
          <w:tab w:val="left" w:pos="2020"/>
        </w:tabs>
        <w:spacing w:before="160"/>
        <w:ind w:left="0" w:firstLine="0"/>
        <w:jc w:val="left"/>
        <w:rPr>
          <w:rFonts w:ascii="宋体" w:hAnsi="宋体" w:eastAsia="宋体"/>
        </w:rPr>
      </w:pPr>
      <w:r>
        <w:rPr>
          <w:rFonts w:hint="eastAsia" w:ascii="宋体" w:hAnsi="宋体" w:eastAsia="宋体"/>
          <w:sz w:val="24"/>
        </w:rPr>
        <w:t>（</w:t>
      </w:r>
      <w:r>
        <w:rPr>
          <w:rFonts w:hint="eastAsia" w:ascii="宋体" w:hAnsi="宋体" w:eastAsia="宋体"/>
          <w:sz w:val="24"/>
          <w:lang w:val="en-US"/>
        </w:rPr>
        <w:t>2）</w:t>
      </w:r>
      <w:r>
        <w:rPr>
          <w:rFonts w:ascii="宋体" w:hAnsi="宋体" w:eastAsia="宋体"/>
          <w:sz w:val="24"/>
        </w:rPr>
        <w:t>因重大变故，比选任务取消的。</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suff w:val="nothing"/>
      <w:lvlText w:val="（%1）"/>
      <w:lvlJc w:val="left"/>
    </w:lvl>
  </w:abstractNum>
  <w:abstractNum w:abstractNumId="1">
    <w:nsid w:val="00000001"/>
    <w:multiLevelType w:val="multilevel"/>
    <w:tmpl w:val="00000001"/>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pStyle w:val="3"/>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hYzg3OTUzZGI0ODMzZjY4MGZmMDk1ODY5MmNmNzgifQ=="/>
  </w:docVars>
  <w:rsids>
    <w:rsidRoot w:val="1EB01ACB"/>
    <w:rsid w:val="1EB01A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jc w:val="both"/>
    </w:pPr>
    <w:rPr>
      <w:rFonts w:ascii="Calibri" w:hAnsi="Calibri" w:eastAsia="宋体" w:cs="Calibri"/>
      <w:kern w:val="2"/>
      <w:sz w:val="21"/>
      <w:szCs w:val="24"/>
      <w:lang w:val="en-US" w:eastAsia="zh-CN" w:bidi="ar-SA"/>
    </w:rPr>
  </w:style>
  <w:style w:type="paragraph" w:styleId="3">
    <w:name w:val="heading 4"/>
    <w:basedOn w:val="1"/>
    <w:next w:val="1"/>
    <w:qFormat/>
    <w:uiPriority w:val="0"/>
    <w:pPr>
      <w:numPr>
        <w:ilvl w:val="3"/>
        <w:numId w:val="1"/>
      </w:numPr>
      <w:spacing w:before="158"/>
      <w:ind w:left="1418"/>
      <w:outlineLvl w:val="3"/>
    </w:pPr>
    <w:rPr>
      <w:rFonts w:ascii="宋体" w:hAnsi="宋体" w:cs="宋体"/>
      <w:b/>
      <w:bCs/>
      <w:sz w:val="24"/>
      <w:lang w:val="zh-CN" w:bidi="zh-CN"/>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4">
    <w:name w:val="Body Text"/>
    <w:basedOn w:val="1"/>
    <w:next w:val="1"/>
    <w:qFormat/>
    <w:uiPriority w:val="0"/>
    <w:rPr>
      <w:rFonts w:ascii="宋体" w:hAnsi="宋体" w:cs="宋体"/>
      <w:sz w:val="24"/>
      <w:lang w:val="zh-CN" w:bidi="zh-CN"/>
    </w:rPr>
  </w:style>
  <w:style w:type="paragraph" w:styleId="7">
    <w:name w:val="List Paragraph"/>
    <w:basedOn w:val="1"/>
    <w:qFormat/>
    <w:uiPriority w:val="0"/>
    <w:pPr>
      <w:ind w:left="938" w:hanging="602"/>
    </w:pPr>
    <w:rPr>
      <w:rFonts w:ascii="宋体" w:hAnsi="宋体" w:cs="宋体"/>
      <w:lang w:val="zh-CN" w:bidi="zh-CN"/>
    </w:rPr>
  </w:style>
  <w:style w:type="paragraph" w:customStyle="1" w:styleId="8">
    <w:name w:val="列出段落31"/>
    <w:basedOn w:val="1"/>
    <w:qFormat/>
    <w:uiPriority w:val="0"/>
    <w:rPr>
      <w:rFonts w:ascii="宋体" w:hAnsi="宋体"/>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2023-11-28T10:16:00Z</dcterms:created>
  <dc:creator>W</dc:creator>
  <cp:lastModifiedBy>W</cp:lastModifiedBy>
  <dcterms:modified xsi:type="dcterms:W3CDTF">2023-11-28T10:18:24Z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3F5AB8EEA98F4FE98D8F0AA238E93669_11</vt:lpwstr>
  </property>
</Properties>
</file>